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283D2" w14:textId="77777777" w:rsidR="00000000" w:rsidRDefault="004D0F7E">
      <w:pPr>
        <w:pStyle w:val="1"/>
        <w:numPr>
          <w:ilvl w:val="0"/>
          <w:numId w:val="2"/>
        </w:numPr>
        <w:divId w:val="1520848477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АНАЛИЗ РЫНКА ОБЪЕКТА ОЦЕНКИ, ЦЕНООБРАЗУЮЩИХ ФАКТОРОВ, А ТАКЖЕ ВНЕШНИХ ФАКТОРОВ, ВЛИЯЮЩИХ НА ЕГО СТОИМОСТЬ</w:t>
      </w:r>
    </w:p>
    <w:p w14:paraId="0C17DA72" w14:textId="77777777" w:rsidR="00000000" w:rsidRDefault="004D0F7E">
      <w:pPr>
        <w:pStyle w:val="2"/>
        <w:divId w:val="1520848477"/>
        <w:rPr>
          <w:rFonts w:eastAsia="Times New Roman"/>
        </w:rPr>
      </w:pPr>
      <w:r>
        <w:rPr>
          <w:rFonts w:eastAsia="Times New Roman"/>
        </w:rPr>
        <w:t>Анализ влияния общей политической и социально-экономической обстановки в стране и регионе расположения объекта оценки на рынок оцениваемого объекта, в том числе тенденций, наметившихся на рынке, в период, предшествующий дате оценки</w:t>
      </w:r>
    </w:p>
    <w:p w14:paraId="0A240203" w14:textId="77777777" w:rsidR="00000000" w:rsidRDefault="004D0F7E">
      <w:pPr>
        <w:pStyle w:val="3"/>
        <w:divId w:val="1520848477"/>
        <w:rPr>
          <w:rFonts w:eastAsia="Times New Roman"/>
        </w:rPr>
      </w:pPr>
      <w:r>
        <w:rPr>
          <w:rFonts w:eastAsia="Times New Roman"/>
        </w:rPr>
        <w:t>Социально – экономическо</w:t>
      </w:r>
      <w:r>
        <w:rPr>
          <w:rFonts w:eastAsia="Times New Roman"/>
        </w:rPr>
        <w:t>е положение России</w:t>
      </w:r>
    </w:p>
    <w:p w14:paraId="226DE237" w14:textId="77777777" w:rsidR="00000000" w:rsidRDefault="004D0F7E">
      <w:pPr>
        <w:pStyle w:val="text-center"/>
        <w:spacing w:before="0" w:beforeAutospacing="0" w:after="150" w:afterAutospacing="0"/>
        <w:ind w:firstLine="750"/>
        <w:divId w:val="1520848477"/>
      </w:pPr>
      <w:r>
        <w:rPr>
          <w:b/>
          <w:bCs/>
        </w:rPr>
        <w:t>Основные социально-экономические показатели Российской Федерации в 2023г.</w:t>
      </w:r>
      <w:r>
        <w:t xml:space="preserve"> </w:t>
      </w:r>
    </w:p>
    <w:p w14:paraId="6C8C2980" w14:textId="77777777" w:rsidR="00000000" w:rsidRDefault="004D0F7E">
      <w:pPr>
        <w:pStyle w:val="a5"/>
        <w:divId w:val="1520848477"/>
      </w:pPr>
      <w:r>
        <w:t>В период с 2022 по 2023 год экономика России показала гораздо большую устойчивость, чем изначально предполагали эксперты. К концу 2023 года ВВП нашей страны превы</w:t>
      </w:r>
      <w:r>
        <w:t>сил уровень 2021 года.</w:t>
      </w:r>
    </w:p>
    <w:p w14:paraId="58210551" w14:textId="77777777" w:rsidR="00000000" w:rsidRDefault="004D0F7E">
      <w:pPr>
        <w:pStyle w:val="a5"/>
        <w:divId w:val="1520848477"/>
      </w:pPr>
      <w:r>
        <w:t>Согласно последним данным Росстата падение ВВП в 2022 году составило 1,2%. При этом, по предварительным оценкам Минэкономразвития, рост ВВП в 2023 году составил 3,5%. Ожидается, что в 2024 году рост ВВП будет слабее в сравнении с 202</w:t>
      </w:r>
      <w:r>
        <w:t>3 годом, когда экономика активно восстанавливалась. По прогнозу Минэкономразвития, в 2024 году рост российской экономики в базовом варианте составит 2,3%, а в консервативном — 1,4%.</w:t>
      </w:r>
    </w:p>
    <w:p w14:paraId="05D5CAF9" w14:textId="77777777" w:rsidR="00000000" w:rsidRDefault="004D0F7E">
      <w:pPr>
        <w:pStyle w:val="a5"/>
        <w:divId w:val="1520848477"/>
      </w:pPr>
      <w:r>
        <w:rPr>
          <w:b/>
          <w:bCs/>
        </w:rPr>
        <w:t>Динамика ВВП</w:t>
      </w:r>
    </w:p>
    <w:p w14:paraId="75D85E10" w14:textId="77777777" w:rsidR="00000000" w:rsidRDefault="004D0F7E">
      <w:pPr>
        <w:pStyle w:val="a5"/>
        <w:divId w:val="1520848477"/>
      </w:pPr>
      <w:r>
        <w:t>Согласно последним данным Росстата падение ВВП в 2022 году со</w:t>
      </w:r>
      <w:r>
        <w:t>ставило 1,2%. При этом, по предварительным оценкам Минэкономразвития, рост ВВП в 2023 году составил 3,5%. Ожидается, что в 2024 году рост ВВП будет слабее в сравнении с 2023 годом, когда экономика активно восстанавливалась. По прогнозу Минэкономразвития, в</w:t>
      </w:r>
      <w:r>
        <w:t xml:space="preserve"> 2024 году рост российской экономики в базовом варианте составит 2,3%, а в консервативном — 1,4%.</w:t>
      </w:r>
    </w:p>
    <w:p w14:paraId="089D8114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0A4AB83" wp14:editId="58548EBD">
            <wp:extent cx="571500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9A15" w14:textId="77777777" w:rsidR="00000000" w:rsidRDefault="004D0F7E">
      <w:pPr>
        <w:pStyle w:val="a5"/>
        <w:divId w:val="1520848477"/>
      </w:pPr>
      <w:r>
        <w:lastRenderedPageBreak/>
        <w:t>По оценке Минфина, дефицит федераль</w:t>
      </w:r>
      <w:r>
        <w:t>ного бюджета в 2023 году составил 3,24 трлн рублей, или 1,9% ВВП, и незначительно превысил плановый показатель в 2,93 трлн рублей. Нефтегазовые доходы в 2023 году упали на 23,9%, или 2,76 трлн рублей, по сравнению с 2022 годом, однако падение было компенси</w:t>
      </w:r>
      <w:r>
        <w:t>ровано ростом ненефтегазовых доходов на 25%, или 4,06 трлн рублей.</w:t>
      </w:r>
    </w:p>
    <w:p w14:paraId="10BCEBDA" w14:textId="77777777" w:rsidR="00000000" w:rsidRDefault="004D0F7E">
      <w:pPr>
        <w:pStyle w:val="a5"/>
        <w:divId w:val="1520848477"/>
      </w:pPr>
      <w:r>
        <w:rPr>
          <w:b/>
          <w:bCs/>
        </w:rPr>
        <w:t>Динамика внешнего долга</w:t>
      </w:r>
    </w:p>
    <w:p w14:paraId="3AB0C3F7" w14:textId="77777777" w:rsidR="00000000" w:rsidRDefault="004D0F7E">
      <w:pPr>
        <w:pStyle w:val="a5"/>
        <w:divId w:val="1520848477"/>
      </w:pPr>
      <w:r>
        <w:t xml:space="preserve">За первое полугодие 2023 года внешний долг России снизился на 11,6%, а показатель внешнего долга к ВВП сократился до 15%. По итогам 2023 года внешний долг к ВВП мог </w:t>
      </w:r>
      <w:r>
        <w:t>снизиться ниже 15% — минимальное значение за последние 20 лет.</w:t>
      </w:r>
    </w:p>
    <w:p w14:paraId="2A5AB64B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EF4D3CF" wp14:editId="516E7C4C">
            <wp:extent cx="571500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033BC" w14:textId="77777777" w:rsidR="00000000" w:rsidRDefault="004D0F7E">
      <w:pPr>
        <w:pStyle w:val="a5"/>
        <w:divId w:val="1520848477"/>
      </w:pPr>
      <w:r>
        <w:t>Положительную динамику показало промышленное производство. В период с</w:t>
      </w:r>
      <w:r>
        <w:t xml:space="preserve"> января по ноябрь 2023 года оно увеличилось на 3,6% относительно аналогичного периода 2022 года. При этом выпуск в обрабатывающей промышленности увеличился на 7,5%. Наибольшие темпы роста в обрабатывающей промышленности показали:</w:t>
      </w:r>
    </w:p>
    <w:p w14:paraId="099DA0FF" w14:textId="77777777" w:rsidR="00000000" w:rsidRDefault="004D0F7E">
      <w:pPr>
        <w:numPr>
          <w:ilvl w:val="0"/>
          <w:numId w:val="5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Машиностроительный комплек</w:t>
      </w:r>
      <w:r>
        <w:rPr>
          <w:rFonts w:eastAsia="Times New Roman"/>
        </w:rPr>
        <w:t>с — +23,3%</w:t>
      </w:r>
    </w:p>
    <w:p w14:paraId="7F36071D" w14:textId="77777777" w:rsidR="00000000" w:rsidRDefault="004D0F7E">
      <w:pPr>
        <w:numPr>
          <w:ilvl w:val="0"/>
          <w:numId w:val="5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Химический комплекс — +6,2%</w:t>
      </w:r>
    </w:p>
    <w:p w14:paraId="56BBD161" w14:textId="77777777" w:rsidR="00000000" w:rsidRDefault="004D0F7E">
      <w:pPr>
        <w:numPr>
          <w:ilvl w:val="0"/>
          <w:numId w:val="5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Металлургический комплекс — +9,5%</w:t>
      </w:r>
    </w:p>
    <w:p w14:paraId="7E5C5B2A" w14:textId="77777777" w:rsidR="00000000" w:rsidRDefault="004D0F7E">
      <w:pPr>
        <w:pStyle w:val="a5"/>
        <w:divId w:val="1520848477"/>
      </w:pPr>
      <w:r>
        <w:t xml:space="preserve">Вместе они обеспечивают около 89% совокупного роста выпуска обрабатывающих производств. Драйверами роста обрабатывающей промышленности в 2023 году послужили активное импортозамещение </w:t>
      </w:r>
      <w:r>
        <w:t>и увеличение гособоронзаказа. В свою очередь, проведение импортозамещения, увеличение ГОЗ, рост численности вооруженных сил и демографические тенденции в части старения населения привели к дефициту рабочей силы.</w:t>
      </w:r>
    </w:p>
    <w:p w14:paraId="38224DCC" w14:textId="77777777" w:rsidR="00000000" w:rsidRDefault="004D0F7E">
      <w:pPr>
        <w:pStyle w:val="a5"/>
        <w:divId w:val="1520848477"/>
      </w:pPr>
      <w:r>
        <w:rPr>
          <w:b/>
          <w:bCs/>
        </w:rPr>
        <w:t>Уровень безработицы</w:t>
      </w:r>
    </w:p>
    <w:p w14:paraId="170F688C" w14:textId="77777777" w:rsidR="00000000" w:rsidRDefault="004D0F7E">
      <w:pPr>
        <w:pStyle w:val="a5"/>
        <w:divId w:val="1520848477"/>
      </w:pPr>
      <w:r>
        <w:t>Уровень безработицы в Ро</w:t>
      </w:r>
      <w:r>
        <w:t xml:space="preserve">ссии в ноябре 2023 года снизился до минимального значения за весь период наблюдения с 1991 года и составил 2,9%. Вероятно, что в 2024 году дефицит рабочей силы сохранится. Это может стать препятствием для быстрого роста и промышленного производства. Также </w:t>
      </w:r>
      <w:r>
        <w:t>кадровый дефицит несет в себе дополнительные инфляционные риски: из-за борьбы предприятий за работников растут заработные платы, которые опережают рост производительности труда.</w:t>
      </w:r>
    </w:p>
    <w:p w14:paraId="452A89BE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6A3501F" wp14:editId="124566F1">
            <wp:extent cx="571500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116C" w14:textId="77777777" w:rsidR="00000000" w:rsidRDefault="004D0F7E">
      <w:pPr>
        <w:pStyle w:val="a5"/>
        <w:divId w:val="1520848477"/>
      </w:pPr>
      <w:r>
        <w:rPr>
          <w:b/>
          <w:bCs/>
        </w:rPr>
        <w:t>Спрос на труд</w:t>
      </w:r>
    </w:p>
    <w:p w14:paraId="06F01615" w14:textId="77777777" w:rsidR="00000000" w:rsidRDefault="004D0F7E">
      <w:pPr>
        <w:pStyle w:val="a5"/>
        <w:divId w:val="1520848477"/>
      </w:pPr>
      <w:r>
        <w:t>Спрос на труд (численность занятых работников и свобо</w:t>
      </w:r>
      <w:r>
        <w:t>дных вакансий) в первом полугодии 2023 г. значительно увеличился, а уровень безработицы опустился до исторического минимума</w:t>
      </w:r>
    </w:p>
    <w:p w14:paraId="438BDFCC" w14:textId="77777777" w:rsidR="00000000" w:rsidRDefault="004D0F7E">
      <w:pPr>
        <w:pStyle w:val="a5"/>
        <w:divId w:val="1520848477"/>
      </w:pPr>
      <w:r>
        <w:t>Согласно оперативному опросу Банка России, в августе 60% предприятий сообщили о нехватке персонала, в большей степени – квалифициров</w:t>
      </w:r>
      <w:r>
        <w:t>анных специалистов. Наибольшая доля предприятий, испытывающих дефицит кадров, наблюдалась в обрабатывающих производствах, особенно в машиностроении и химической промышленности. По данным опросов, загрузка рабочей силы в промышленности в целом в июне достиг</w:t>
      </w:r>
      <w:r>
        <w:t>ла максимума за всю историю наблюдений.</w:t>
      </w:r>
    </w:p>
    <w:p w14:paraId="6815697A" w14:textId="77777777" w:rsidR="00000000" w:rsidRDefault="004D0F7E">
      <w:pPr>
        <w:pStyle w:val="a5"/>
        <w:divId w:val="1520848477"/>
      </w:pPr>
      <w:r>
        <w:t>По информации предприятий, основными причинами роста спроса на труд являлись расширение производства на предприятиях на фоне ухода с рынка иностранных компаний и рост госзаказа. Так, значительно вырос спрос на труд со стороны импортозамещающих производств,</w:t>
      </w:r>
      <w:r>
        <w:t xml:space="preserve"> стремящихся занять рыночные ниши после ухода из страны большого числа иностранных фирм</w:t>
      </w:r>
    </w:p>
    <w:p w14:paraId="187C5B65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0B8AEF70" wp14:editId="6C1064E4">
            <wp:extent cx="571500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DEA5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BFB6A6D" wp14:editId="072EAB26">
            <wp:extent cx="5715000" cy="174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5F8C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468723A" wp14:editId="5A0FA405">
            <wp:extent cx="304800" cy="304800"/>
            <wp:effectExtent l="0" t="0" r="0" b="0"/>
            <wp:docPr id="6" name="Рисунок 6" descr="data: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ta:,"/>
                    <pic:cNvPicPr>
                      <a:picLocks noChangeAspect="1" noChangeArrowheads="1"/>
                    </pic:cNvPicPr>
                  </pic:nvPicPr>
                  <pic:blipFill>
                    <a:blip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3E38" w14:textId="77777777" w:rsidR="00000000" w:rsidRDefault="004D0F7E">
      <w:pPr>
        <w:pStyle w:val="a5"/>
        <w:divId w:val="1520848477"/>
      </w:pPr>
      <w:r>
        <w:t>В 2023 г. наблюдалось увеличение спроса на труд, особенно сильное в отдельных отраслях обрабатывающей промышленности. При этом прирост численности рабочей силы был менее значит</w:t>
      </w:r>
      <w:r>
        <w:t>ельным, чем рост потребности предприятий в работниках, в результате нехватка работников возросла. В условиях усиления конкуренции за кадры наблюдается опережающий рост зарплат в отдельных отраслях (машиностроение, химическая промышленность). Дальнейшее уси</w:t>
      </w:r>
      <w:r>
        <w:t>ление дефицита кадров и сохранение ограничений со стороны предложения труда будут оказывать значимое проинфляционное влияние.</w:t>
      </w:r>
    </w:p>
    <w:p w14:paraId="6DB1EBAB" w14:textId="77777777" w:rsidR="00000000" w:rsidRDefault="004D0F7E">
      <w:pPr>
        <w:pStyle w:val="a5"/>
        <w:divId w:val="1520848477"/>
      </w:pPr>
      <w:r>
        <w:rPr>
          <w:b/>
          <w:bCs/>
        </w:rPr>
        <w:t>Денежная масса и инфляция</w:t>
      </w:r>
    </w:p>
    <w:p w14:paraId="5DAB03AB" w14:textId="77777777" w:rsidR="00000000" w:rsidRDefault="004D0F7E">
      <w:pPr>
        <w:pStyle w:val="a5"/>
        <w:divId w:val="1520848477"/>
      </w:pPr>
      <w:r>
        <w:t>По итогам 2023 года рост денежной массы М2 составит ориентировочно 20% к уровню 2022 года. Прирост денеж</w:t>
      </w:r>
      <w:r>
        <w:t>ной массы в основном обусловлен увеличением кредитования населения, финансовых и нефинансовых организаций.</w:t>
      </w:r>
    </w:p>
    <w:p w14:paraId="04B89D67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EFBE1C1" wp14:editId="00109025">
            <wp:extent cx="5715000" cy="3333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2992" w14:textId="77777777" w:rsidR="00000000" w:rsidRDefault="004D0F7E">
      <w:pPr>
        <w:pStyle w:val="a5"/>
        <w:divId w:val="1520848477"/>
      </w:pPr>
      <w:r>
        <w:t>Уровень инфляции в 2023 г</w:t>
      </w:r>
      <w:r>
        <w:t>оду увеличился до 7,42%. Основными факторами роста инфляции стали:</w:t>
      </w:r>
    </w:p>
    <w:p w14:paraId="44F6A5DF" w14:textId="77777777" w:rsidR="00000000" w:rsidRDefault="004D0F7E">
      <w:pPr>
        <w:numPr>
          <w:ilvl w:val="0"/>
          <w:numId w:val="6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Рост потребительского спроса, который стимулируется увеличением кредитования</w:t>
      </w:r>
    </w:p>
    <w:p w14:paraId="45464210" w14:textId="77777777" w:rsidR="00000000" w:rsidRDefault="004D0F7E">
      <w:pPr>
        <w:numPr>
          <w:ilvl w:val="0"/>
          <w:numId w:val="6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Изменения цепочек поставок на фоне усиления санкционного давления</w:t>
      </w:r>
    </w:p>
    <w:p w14:paraId="336148CA" w14:textId="77777777" w:rsidR="00000000" w:rsidRDefault="004D0F7E">
      <w:pPr>
        <w:numPr>
          <w:ilvl w:val="0"/>
          <w:numId w:val="6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перенос роста затрат поставщиков на конечных п</w:t>
      </w:r>
      <w:r>
        <w:rPr>
          <w:rFonts w:eastAsia="Times New Roman"/>
        </w:rPr>
        <w:t>отребителей</w:t>
      </w:r>
    </w:p>
    <w:p w14:paraId="36323338" w14:textId="77777777" w:rsidR="00000000" w:rsidRDefault="004D0F7E">
      <w:pPr>
        <w:pStyle w:val="a5"/>
        <w:divId w:val="1520848477"/>
      </w:pPr>
      <w:r>
        <w:t>В свою очередь, рост инфляции привел к ужесточению денежно-кредитной политики Банка России и повышению ключевой ставки во втором полугодии 2023 года с 7,5% до 16%. Смягчить денежно-кредитную политику регулятор будет готов после образования усто</w:t>
      </w:r>
      <w:r>
        <w:t>йчивой тенденции к снижению инфляции.</w:t>
      </w:r>
    </w:p>
    <w:p w14:paraId="3EE3A9E9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676858E" wp14:editId="5BEE4F35">
            <wp:extent cx="5715000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1CD2" w14:textId="77777777" w:rsidR="00000000" w:rsidRDefault="004D0F7E">
      <w:pPr>
        <w:pStyle w:val="a5"/>
        <w:divId w:val="1520848477"/>
      </w:pPr>
      <w:r>
        <w:rPr>
          <w:b/>
          <w:bCs/>
        </w:rPr>
        <w:t>Динамика курса доллара США</w:t>
      </w:r>
    </w:p>
    <w:p w14:paraId="1C308194" w14:textId="77777777" w:rsidR="00000000" w:rsidRDefault="004D0F7E">
      <w:pPr>
        <w:pStyle w:val="a5"/>
        <w:divId w:val="1520848477"/>
      </w:pPr>
      <w:r>
        <w:t>Ужесточение денежно-кредитной политики (ДКП) не только оказывает вли</w:t>
      </w:r>
      <w:r>
        <w:t>яние на снижение инфляции, но и стабилизирует курс рубля. В октябре 2023 года официальный курс доллара США доходил до 101,36 рубля. Однако увеличение ключевой ставки и подписание в октябре указа президента об обязательной продаже экспортерами валютной выру</w:t>
      </w:r>
      <w:r>
        <w:t>чки — привели к снижению курса доллара США к концу года до 89,69 рубля.</w:t>
      </w:r>
    </w:p>
    <w:p w14:paraId="0BE7C3B7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0619BB5" wp14:editId="1B9F5542">
            <wp:extent cx="5715000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F8C1" w14:textId="77777777" w:rsidR="00000000" w:rsidRDefault="004D0F7E">
      <w:pPr>
        <w:pStyle w:val="a5"/>
        <w:divId w:val="1520848477"/>
      </w:pPr>
      <w:r>
        <w:t>На фоне роста российской экономики и денежной массы в 2023 году вырос и фондовый рынок:</w:t>
      </w:r>
    </w:p>
    <w:p w14:paraId="5E92E392" w14:textId="77777777" w:rsidR="00000000" w:rsidRDefault="004D0F7E">
      <w:pPr>
        <w:numPr>
          <w:ilvl w:val="0"/>
          <w:numId w:val="7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Индекс Мосбиржи — +43,6%</w:t>
      </w:r>
    </w:p>
    <w:p w14:paraId="4431419D" w14:textId="77777777" w:rsidR="00000000" w:rsidRDefault="004D0F7E">
      <w:pPr>
        <w:numPr>
          <w:ilvl w:val="0"/>
          <w:numId w:val="7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Индекс РТС — +12%</w:t>
      </w:r>
    </w:p>
    <w:p w14:paraId="30AEFB41" w14:textId="77777777" w:rsidR="00000000" w:rsidRDefault="004D0F7E">
      <w:pPr>
        <w:pStyle w:val="a5"/>
        <w:divId w:val="1520848477"/>
      </w:pPr>
      <w:r>
        <w:t>В св</w:t>
      </w:r>
      <w:r>
        <w:t>язи с ростом ключевой ставки стоимость чистых активов фондов денежного рынка выросла в 15 раз за 2023 год и превысила 200 млрд рублей.</w:t>
      </w:r>
    </w:p>
    <w:p w14:paraId="43E9B093" w14:textId="77777777" w:rsidR="00000000" w:rsidRDefault="004D0F7E">
      <w:pPr>
        <w:pStyle w:val="a5"/>
        <w:divId w:val="1520848477"/>
      </w:pPr>
      <w:r>
        <w:rPr>
          <w:rStyle w:val="a6"/>
          <w:u w:val="single"/>
        </w:rPr>
        <w:t>Источник: https://gazprombank.investments/blog/economics/russian-economy-2023/; https://cbr.ru/Collection/Collection/File</w:t>
      </w:r>
      <w:r>
        <w:rPr>
          <w:rStyle w:val="a6"/>
          <w:u w:val="single"/>
        </w:rPr>
        <w:t>/46309/report_01092023.pdf</w:t>
      </w:r>
    </w:p>
    <w:p w14:paraId="7727C793" w14:textId="77777777" w:rsidR="00000000" w:rsidRDefault="004D0F7E">
      <w:pPr>
        <w:pStyle w:val="3"/>
        <w:divId w:val="1520848477"/>
        <w:rPr>
          <w:rFonts w:eastAsia="Times New Roman"/>
        </w:rPr>
      </w:pPr>
      <w:r>
        <w:rPr>
          <w:rFonts w:eastAsia="Times New Roman"/>
        </w:rPr>
        <w:t>Определение сегмента рынка, к которому принадлежит оцениваемый объект</w:t>
      </w:r>
    </w:p>
    <w:p w14:paraId="4C2039E1" w14:textId="77777777" w:rsidR="00000000" w:rsidRDefault="004D0F7E">
      <w:pPr>
        <w:pStyle w:val="a5"/>
        <w:divId w:val="1520848477"/>
      </w:pPr>
      <w:r>
        <w:t>Согласно Российскому законодательству (Гражданский Кодекс РФ, статья 130) недвижимость – это земельные участки, участки недр, обособленные водные объекты и все</w:t>
      </w:r>
      <w:r>
        <w:t>, что прочно связано с землей, то есть объекты, перемещение которых без несоразмерного ущерба их назначению невозможно. К недвижимым вещам также относятся подлежащие обязательной государственно регистрации воздушные и морские суда, суда внутреннего плавани</w:t>
      </w:r>
      <w:r>
        <w:t>я, космические объекты.</w:t>
      </w:r>
    </w:p>
    <w:p w14:paraId="0B5940BD" w14:textId="77777777" w:rsidR="00000000" w:rsidRDefault="004D0F7E">
      <w:pPr>
        <w:pStyle w:val="a5"/>
        <w:divId w:val="1520848477"/>
      </w:pPr>
      <w:r>
        <w:t>В России рынок недвижимости традиционно классифицируется по назначению:</w:t>
      </w:r>
    </w:p>
    <w:p w14:paraId="7A153786" w14:textId="77777777" w:rsidR="00000000" w:rsidRDefault="004D0F7E">
      <w:pPr>
        <w:numPr>
          <w:ilvl w:val="0"/>
          <w:numId w:val="8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рынок жилья;</w:t>
      </w:r>
    </w:p>
    <w:p w14:paraId="1AFFF79C" w14:textId="77777777" w:rsidR="00000000" w:rsidRDefault="004D0F7E">
      <w:pPr>
        <w:numPr>
          <w:ilvl w:val="0"/>
          <w:numId w:val="8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рынок коммерческой недвижимости;</w:t>
      </w:r>
    </w:p>
    <w:p w14:paraId="68CACCBF" w14:textId="77777777" w:rsidR="00000000" w:rsidRDefault="004D0F7E">
      <w:pPr>
        <w:numPr>
          <w:ilvl w:val="0"/>
          <w:numId w:val="8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рынок земельных участков.</w:t>
      </w:r>
    </w:p>
    <w:p w14:paraId="471DBA9D" w14:textId="77777777" w:rsidR="00000000" w:rsidRDefault="004D0F7E">
      <w:pPr>
        <w:pStyle w:val="a5"/>
        <w:divId w:val="1520848477"/>
      </w:pPr>
      <w:r>
        <w:t>В соответствии с общепринятой классификацией профессиональных операторов рынка недвижимости все объекты недвижимости можно отнести к какому-либо сегменту рынка. Ниже приведена типовая сегментация объектов недвижимости:</w:t>
      </w:r>
    </w:p>
    <w:p w14:paraId="5A8D0335" w14:textId="77777777" w:rsidR="00000000" w:rsidRDefault="004D0F7E">
      <w:pPr>
        <w:numPr>
          <w:ilvl w:val="0"/>
          <w:numId w:val="9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Рынок земельных участков;</w:t>
      </w:r>
    </w:p>
    <w:p w14:paraId="6EC0F0DA" w14:textId="77777777" w:rsidR="00000000" w:rsidRDefault="004D0F7E">
      <w:pPr>
        <w:numPr>
          <w:ilvl w:val="0"/>
          <w:numId w:val="9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 xml:space="preserve">под дачное </w:t>
      </w:r>
      <w:r>
        <w:rPr>
          <w:rFonts w:eastAsia="Times New Roman"/>
        </w:rPr>
        <w:t>и садово-огородное использование;</w:t>
      </w:r>
    </w:p>
    <w:p w14:paraId="7AE4CAE9" w14:textId="77777777" w:rsidR="00000000" w:rsidRDefault="004D0F7E">
      <w:pPr>
        <w:numPr>
          <w:ilvl w:val="0"/>
          <w:numId w:val="9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под жилую застройку;</w:t>
      </w:r>
    </w:p>
    <w:p w14:paraId="36494641" w14:textId="77777777" w:rsidR="00000000" w:rsidRDefault="004D0F7E">
      <w:pPr>
        <w:numPr>
          <w:ilvl w:val="0"/>
          <w:numId w:val="9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коммерческого и иного специального назначения промышленности, транспорта, энергетики, обороны идр.;</w:t>
      </w:r>
    </w:p>
    <w:p w14:paraId="3418FDF6" w14:textId="77777777" w:rsidR="00000000" w:rsidRDefault="004D0F7E">
      <w:pPr>
        <w:numPr>
          <w:ilvl w:val="0"/>
          <w:numId w:val="9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сельскохозяйственного назначения.</w:t>
      </w:r>
    </w:p>
    <w:p w14:paraId="3DD391BF" w14:textId="77777777" w:rsidR="00000000" w:rsidRDefault="004D0F7E">
      <w:pPr>
        <w:pStyle w:val="a5"/>
        <w:divId w:val="1520848477"/>
      </w:pPr>
      <w:r>
        <w:t>Рынок жилья - жилые здания и помещения:</w:t>
      </w:r>
    </w:p>
    <w:p w14:paraId="788B1BE2" w14:textId="77777777" w:rsidR="00000000" w:rsidRDefault="004D0F7E">
      <w:pPr>
        <w:numPr>
          <w:ilvl w:val="0"/>
          <w:numId w:val="10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многоквартирные жилые дома,</w:t>
      </w:r>
      <w:r>
        <w:rPr>
          <w:rFonts w:eastAsia="Times New Roman"/>
        </w:rPr>
        <w:t xml:space="preserve"> квартиры в них и другие помещения для постоянного проживания в домах отдыха, гостиницах, больницах, школах ит.п.;</w:t>
      </w:r>
    </w:p>
    <w:p w14:paraId="0BB9A298" w14:textId="77777777" w:rsidR="00000000" w:rsidRDefault="004D0F7E">
      <w:pPr>
        <w:numPr>
          <w:ilvl w:val="0"/>
          <w:numId w:val="10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индивидуальные, двух- и четырехсемейные малоэтажные жилые дома старая застройка, а также дома традиционного типа – домовладения и дома нового</w:t>
      </w:r>
      <w:r>
        <w:rPr>
          <w:rFonts w:eastAsia="Times New Roman"/>
        </w:rPr>
        <w:t xml:space="preserve"> типа – коттеджи, таунхаусы.</w:t>
      </w:r>
    </w:p>
    <w:p w14:paraId="6B9F4D80" w14:textId="77777777" w:rsidR="00000000" w:rsidRDefault="004D0F7E">
      <w:pPr>
        <w:pStyle w:val="a5"/>
        <w:divId w:val="1520848477"/>
      </w:pPr>
      <w:r>
        <w:t>Коммерческая и промышленная недвижимость:</w:t>
      </w:r>
    </w:p>
    <w:p w14:paraId="596D0EC0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офисные здания и помещения административно-офисного назначения;</w:t>
      </w:r>
    </w:p>
    <w:p w14:paraId="47DBC147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объекты торговли, общественного питания и бытового обслуживания;</w:t>
      </w:r>
    </w:p>
    <w:p w14:paraId="54929F5A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заводские и фабричные помещения, здания и сооружения про</w:t>
      </w:r>
      <w:r>
        <w:rPr>
          <w:rFonts w:eastAsia="Times New Roman"/>
        </w:rPr>
        <w:t>изводственного назначения</w:t>
      </w:r>
    </w:p>
    <w:p w14:paraId="17F82261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мосты, трубопроводы, дороги, дамбы и другие инженерные сооружения;</w:t>
      </w:r>
    </w:p>
    <w:p w14:paraId="254B9F2F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паркинги, гаражи;</w:t>
      </w:r>
    </w:p>
    <w:p w14:paraId="61268D89" w14:textId="77777777" w:rsidR="00000000" w:rsidRDefault="004D0F7E">
      <w:pPr>
        <w:numPr>
          <w:ilvl w:val="0"/>
          <w:numId w:val="11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склады, складские помещения;</w:t>
      </w:r>
    </w:p>
    <w:p w14:paraId="1F10BB34" w14:textId="77777777" w:rsidR="00000000" w:rsidRDefault="004D0F7E">
      <w:pPr>
        <w:pStyle w:val="a5"/>
        <w:divId w:val="1520848477"/>
      </w:pPr>
      <w:r>
        <w:t>Недвижимость социально-культурного назначения:</w:t>
      </w:r>
    </w:p>
    <w:p w14:paraId="5FEA8C16" w14:textId="77777777" w:rsidR="00000000" w:rsidRDefault="004D0F7E">
      <w:pPr>
        <w:numPr>
          <w:ilvl w:val="0"/>
          <w:numId w:val="12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здания правительственных и административных учреждений;</w:t>
      </w:r>
    </w:p>
    <w:p w14:paraId="440D0BCC" w14:textId="77777777" w:rsidR="00000000" w:rsidRDefault="004D0F7E">
      <w:pPr>
        <w:numPr>
          <w:ilvl w:val="0"/>
          <w:numId w:val="12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культурно-озд</w:t>
      </w:r>
      <w:r>
        <w:rPr>
          <w:rFonts w:eastAsia="Times New Roman"/>
        </w:rPr>
        <w:t>оровительные, образовательные, объекты физической культуры и спорта;</w:t>
      </w:r>
    </w:p>
    <w:p w14:paraId="438A68DA" w14:textId="77777777" w:rsidR="00000000" w:rsidRDefault="004D0F7E">
      <w:pPr>
        <w:numPr>
          <w:ilvl w:val="0"/>
          <w:numId w:val="12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религиозные объекты.</w:t>
      </w:r>
    </w:p>
    <w:p w14:paraId="2FE54192" w14:textId="77777777" w:rsidR="00000000" w:rsidRDefault="004D0F7E">
      <w:pPr>
        <w:divId w:val="1242327058"/>
        <w:rPr>
          <w:rFonts w:eastAsia="Times New Roman"/>
        </w:rPr>
      </w:pPr>
      <w:r>
        <w:rPr>
          <w:rFonts w:eastAsia="Times New Roman"/>
          <w:b/>
          <w:bCs/>
        </w:rPr>
        <w:t>Выводы:</w:t>
      </w:r>
    </w:p>
    <w:p w14:paraId="091157BB" w14:textId="77777777" w:rsidR="00000000" w:rsidRDefault="004D0F7E">
      <w:pPr>
        <w:pStyle w:val="a5"/>
        <w:divId w:val="1520848477"/>
      </w:pPr>
      <w:r>
        <w:rPr>
          <w:b/>
          <w:bCs/>
        </w:rPr>
        <w:t>На основании вышесказанного оцениваемый объект относится к земельным участкам и может позиционироваться в данном сегменте рынка.</w:t>
      </w:r>
    </w:p>
    <w:p w14:paraId="795F64AA" w14:textId="77777777" w:rsidR="00000000" w:rsidRDefault="004D0F7E">
      <w:pPr>
        <w:pStyle w:val="3"/>
        <w:divId w:val="1520848477"/>
        <w:rPr>
          <w:rFonts w:eastAsia="Times New Roman"/>
        </w:rPr>
      </w:pPr>
      <w:r>
        <w:rPr>
          <w:rFonts w:eastAsia="Times New Roman"/>
        </w:rPr>
        <w:t>Анализ рынка земельных участков в России</w:t>
      </w:r>
    </w:p>
    <w:p w14:paraId="5BA5D5C0" w14:textId="77777777" w:rsidR="00000000" w:rsidRDefault="004D0F7E">
      <w:pPr>
        <w:pStyle w:val="a5"/>
        <w:divId w:val="1520848477"/>
      </w:pPr>
      <w:r>
        <w:rPr>
          <w:rStyle w:val="a7"/>
        </w:rPr>
        <w:t>Предложения по земельным участкам</w:t>
      </w:r>
    </w:p>
    <w:p w14:paraId="04061AAB" w14:textId="77777777" w:rsidR="00000000" w:rsidRDefault="004D0F7E">
      <w:pPr>
        <w:pStyle w:val="a5"/>
        <w:divId w:val="1520848477"/>
      </w:pPr>
      <w:r>
        <w:t>Увеличение доли индивидуальных домов в структуре жил</w:t>
      </w:r>
      <w:r>
        <w:t xml:space="preserve">ищного строительства в целом по стране привело в третьем квартале 2023 года к росту стоимости участков на 9% год к году, до 55 тыс. руб. за сотку в 33 крупных регионах России. Дороже всего земля продается в Краснодарском крае, но самый выраженный рост цен </w:t>
      </w:r>
      <w:r>
        <w:t>фиксируют в Дагестане. Стоимость участков в Крыму и части областей, граничащих с Украиной, пока остается стабильной.</w:t>
      </w:r>
    </w:p>
    <w:p w14:paraId="7939C585" w14:textId="77777777" w:rsidR="00000000" w:rsidRDefault="004D0F7E">
      <w:pPr>
        <w:pStyle w:val="a5"/>
        <w:divId w:val="1520848477"/>
      </w:pPr>
      <w:r>
        <w:t>Значительнее всего земли подорожала в Саратовской (+18%, до 65 тыс. рублей), Волгоградской (+11%, до 50 тыс. рублей) и Ульяновской областях</w:t>
      </w:r>
      <w:r>
        <w:t xml:space="preserve"> (+10%, до 40 тыс. рублей). В 14 регионах цены на участки не изменились, а в пяти регионах — снизились: Кировской (-7%, до 14 тыс. рублей за сотку), Московской (-2%, до 106 тыс. рублей), Воронежской областях (-1%, до 41 тыс. рублей), а также в Башкортостан</w:t>
      </w:r>
      <w:r>
        <w:t>е (-1%, до 54 тыс. рублей) и Ярославской области (-0,3%, до 26 тыс. рублей).</w:t>
      </w:r>
    </w:p>
    <w:p w14:paraId="385B7062" w14:textId="77777777" w:rsidR="00000000" w:rsidRDefault="004D0F7E">
      <w:pPr>
        <w:pStyle w:val="a5"/>
        <w:divId w:val="1520848477"/>
      </w:pPr>
      <w:r>
        <w:t>При этом самая дорогая земля экспонируется в Краснодарском крае (200 тыс. рублей за сотку), Дагестане (192 тыс. рублей), Ростовской области (187,5 тыс. рублей) и Крыму (178 тыс. р</w:t>
      </w:r>
      <w:r>
        <w:t>ублей).</w:t>
      </w:r>
    </w:p>
    <w:p w14:paraId="26F33D30" w14:textId="77777777" w:rsidR="00000000" w:rsidRDefault="004D0F7E">
      <w:pPr>
        <w:pStyle w:val="a5"/>
        <w:divId w:val="1520848477"/>
      </w:pPr>
      <w:r>
        <w:rPr>
          <w:rStyle w:val="a7"/>
        </w:rPr>
        <w:t>Спрос на земельные участки</w:t>
      </w:r>
    </w:p>
    <w:p w14:paraId="5C7F2F41" w14:textId="77777777" w:rsidR="00000000" w:rsidRDefault="004D0F7E">
      <w:pPr>
        <w:pStyle w:val="a5"/>
        <w:divId w:val="1520848477"/>
      </w:pPr>
      <w:r>
        <w:t>Интерес к покупке земельных участков в среднем не изменился — землю под ИЖС искали на 3% чаще, под промышленные объекты — на 4%, а интерес к участкам сельхозназначения сократился на 6%. Предложение за квартал в целом умен</w:t>
      </w:r>
      <w:r>
        <w:t>ьшилось на 6%.</w:t>
      </w:r>
    </w:p>
    <w:p w14:paraId="1644C222" w14:textId="77777777" w:rsidR="00000000" w:rsidRDefault="004D0F7E">
      <w:pPr>
        <w:pStyle w:val="a5"/>
        <w:divId w:val="1520848477"/>
      </w:pPr>
      <w:r>
        <w:t>В сегменте аренды земельных участков спрос сократился на 20%, преимущественно из-за сезонности. Интерес к аренде участков сельхозназначения снизился на 51%. Цена аренды за сотку за три месяца уменьшилась на 19% по той же причине.</w:t>
      </w:r>
    </w:p>
    <w:p w14:paraId="66D84CF2" w14:textId="77777777" w:rsidR="00000000" w:rsidRDefault="004D0F7E">
      <w:pPr>
        <w:pStyle w:val="a5"/>
        <w:divId w:val="1520848477"/>
      </w:pPr>
      <w:r>
        <w:rPr>
          <w:rStyle w:val="a7"/>
        </w:rPr>
        <w:t>Торги по зе</w:t>
      </w:r>
      <w:r>
        <w:rPr>
          <w:rStyle w:val="a7"/>
        </w:rPr>
        <w:t>мельным участкам</w:t>
      </w:r>
    </w:p>
    <w:p w14:paraId="130CBB68" w14:textId="77777777" w:rsidR="00000000" w:rsidRDefault="004D0F7E">
      <w:pPr>
        <w:pStyle w:val="a5"/>
        <w:divId w:val="1520848477"/>
      </w:pPr>
      <w:r>
        <w:t>Общее количество проведенных торгов по всей России за 2023 год составило: 99 481, общей суммой на 38,09 млрд.руб. Из них:</w:t>
      </w:r>
    </w:p>
    <w:p w14:paraId="6A7E2FF0" w14:textId="77777777" w:rsidR="00000000" w:rsidRDefault="004D0F7E">
      <w:pPr>
        <w:numPr>
          <w:ilvl w:val="0"/>
          <w:numId w:val="13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66.27% не состоялись (без возможности заключить договор) на сумму 25,24 млрд.руб., т.к. не было заявителей,</w:t>
      </w:r>
    </w:p>
    <w:p w14:paraId="0601FC02" w14:textId="77777777" w:rsidR="00000000" w:rsidRDefault="004D0F7E">
      <w:pPr>
        <w:numPr>
          <w:ilvl w:val="0"/>
          <w:numId w:val="13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 xml:space="preserve">3.29% не </w:t>
      </w:r>
      <w:r>
        <w:rPr>
          <w:rFonts w:eastAsia="Times New Roman"/>
        </w:rPr>
        <w:t>состоялись (с возможностью заключить договор, как единственному участнику аукциона) на сумму 1,25 млрд.руб.</w:t>
      </w:r>
    </w:p>
    <w:p w14:paraId="152D88D5" w14:textId="77777777" w:rsidR="00000000" w:rsidRDefault="004D0F7E">
      <w:pPr>
        <w:numPr>
          <w:ilvl w:val="0"/>
          <w:numId w:val="13"/>
        </w:numPr>
        <w:spacing w:before="100" w:beforeAutospacing="1" w:after="100" w:afterAutospacing="1"/>
        <w:divId w:val="1520848477"/>
        <w:rPr>
          <w:rFonts w:eastAsia="Times New Roman"/>
        </w:rPr>
      </w:pPr>
      <w:r>
        <w:rPr>
          <w:rFonts w:eastAsia="Times New Roman"/>
        </w:rPr>
        <w:t>22 923 -количество состоявшихся торгов, или 23.04% от общего количества торгов по всем статусам.</w:t>
      </w:r>
    </w:p>
    <w:p w14:paraId="0EE71E63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A968B09" wp14:editId="0C60ABBE">
            <wp:extent cx="5715000" cy="2552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689F" w14:textId="77777777" w:rsidR="00000000" w:rsidRDefault="004D0F7E">
      <w:pPr>
        <w:pStyle w:val="a5"/>
        <w:divId w:val="1520848477"/>
      </w:pPr>
      <w:r>
        <w:rPr>
          <w:rStyle w:val="a6"/>
          <w:u w:val="single"/>
        </w:rPr>
        <w:t>Источник информации: https://stroygaz.ru/news/construction/v-rossii-podorozhala-pokupka-zemelnykh-uchastkov/; https://dzen.ru/a/ZdNlszWs1kpw9-QL; https://www.kommersant.ru/doc/6295834</w:t>
      </w:r>
    </w:p>
    <w:p w14:paraId="400B7F7E" w14:textId="77777777" w:rsidR="00000000" w:rsidRDefault="004D0F7E">
      <w:pPr>
        <w:pStyle w:val="a5"/>
        <w:divId w:val="1520848477"/>
      </w:pPr>
      <w:r>
        <w:rPr>
          <w:rStyle w:val="a7"/>
        </w:rPr>
        <w:t>Средняя цена участков под ИЖС в регионах России в 2023 году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4"/>
        <w:gridCol w:w="1525"/>
        <w:gridCol w:w="1524"/>
        <w:gridCol w:w="2286"/>
      </w:tblGrid>
      <w:tr w:rsidR="00000000" w14:paraId="6FBB6C39" w14:textId="77777777">
        <w:trPr>
          <w:divId w:val="1520848477"/>
        </w:trPr>
        <w:tc>
          <w:tcPr>
            <w:tcW w:w="21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26D58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Регион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DB2E5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 xml:space="preserve">Средняя цена </w:t>
            </w:r>
            <w:r>
              <w:rPr>
                <w:rFonts w:eastAsia="Times New Roman"/>
                <w:sz w:val="17"/>
                <w:szCs w:val="17"/>
              </w:rPr>
              <w:br/>
            </w:r>
            <w:r>
              <w:rPr>
                <w:rStyle w:val="a7"/>
                <w:rFonts w:eastAsia="Times New Roman"/>
                <w:sz w:val="17"/>
                <w:szCs w:val="17"/>
              </w:rPr>
              <w:t>в период 01.01.2022 - 01.01.2023, рублей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8E325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Средняя цена</w:t>
            </w:r>
            <w:r>
              <w:rPr>
                <w:rFonts w:eastAsia="Times New Roman"/>
                <w:sz w:val="17"/>
                <w:szCs w:val="17"/>
              </w:rPr>
              <w:br/>
            </w:r>
            <w:r>
              <w:rPr>
                <w:rStyle w:val="a7"/>
                <w:rFonts w:eastAsia="Times New Roman"/>
                <w:sz w:val="17"/>
                <w:szCs w:val="17"/>
              </w:rPr>
              <w:t>в период 01.01.2023 - 01.01.2024, рублей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2F542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Изменение</w:t>
            </w:r>
            <w:r>
              <w:rPr>
                <w:rFonts w:eastAsia="Times New Roman"/>
                <w:sz w:val="17"/>
                <w:szCs w:val="17"/>
              </w:rPr>
              <w:br/>
            </w:r>
            <w:r>
              <w:rPr>
                <w:rStyle w:val="a7"/>
                <w:rFonts w:eastAsia="Times New Roman"/>
                <w:sz w:val="17"/>
                <w:szCs w:val="17"/>
              </w:rPr>
              <w:t>цены за год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</w:tr>
      <w:tr w:rsidR="00000000" w14:paraId="252DEA1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33B8A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Адыгея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4082F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3165.29 р. за кв.м (15519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ED077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3317.54 р. за кв.м (13735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44098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4.81% </w:t>
            </w:r>
          </w:p>
        </w:tc>
      </w:tr>
      <w:tr w:rsidR="00000000" w14:paraId="472B9CB6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7A45B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Алтайский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D1D47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1066.37 р. за кв.м (15594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D01E9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1403.05 р. за кв.м (12076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314B8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31.57% </w:t>
            </w:r>
          </w:p>
        </w:tc>
      </w:tr>
      <w:tr w:rsidR="00000000" w14:paraId="4A3B082F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27D91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Амурская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BF510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1550.59 р. за кв.м (5585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94F42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1818.4 р. за кв.м (4944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6852B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17.27% </w:t>
            </w:r>
          </w:p>
        </w:tc>
      </w:tr>
      <w:tr w:rsidR="00000000" w14:paraId="32DEAEC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B5BFB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Арханге</w:t>
            </w:r>
            <w:r>
              <w:rPr>
                <w:rFonts w:eastAsia="Times New Roman"/>
                <w:sz w:val="17"/>
                <w:szCs w:val="17"/>
              </w:rPr>
              <w:t xml:space="preserve">льская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89157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729.4 р. за кв.м (4914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0865D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707.12 р. за кв.м (3671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37E87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-3.05% </w:t>
            </w:r>
          </w:p>
        </w:tc>
      </w:tr>
      <w:tr w:rsidR="00000000" w14:paraId="69FFBF4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E4821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Астраханская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600FE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1324.77 р. за кв.м (12247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4F502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1347.74 р. за кв.м (10040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C2172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1.73% </w:t>
            </w:r>
          </w:p>
        </w:tc>
      </w:tr>
      <w:tr w:rsidR="00000000" w14:paraId="73B43A4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5943B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Башкортостан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288475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1104.66 р. за кв.м (30752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255F0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1445.1 р. за кв.м (23521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BB262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30.82% </w:t>
            </w:r>
          </w:p>
        </w:tc>
      </w:tr>
      <w:tr w:rsidR="00000000" w14:paraId="60F4A85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2C9C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Белгородская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8BD4A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834.55 р. за кв.м (17074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6923B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829.78 р. за кв.м (11985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8C0DA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-0.57% </w:t>
            </w:r>
          </w:p>
        </w:tc>
      </w:tr>
      <w:tr w:rsidR="00000000" w14:paraId="17FD49E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EB084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Брянская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A9F44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938.52 р. за кв.м (11614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0DD34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853.7 р. за кв.м (9038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6F82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-9.04% </w:t>
            </w:r>
          </w:p>
        </w:tc>
      </w:tr>
      <w:tr w:rsidR="00000000" w14:paraId="029A98A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09247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Бурятия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C8EB9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709.75 р. за кв.м (11473 шт</w:t>
            </w:r>
            <w:r>
              <w:rPr>
                <w:rFonts w:eastAsia="Times New Roman"/>
                <w:sz w:val="17"/>
                <w:szCs w:val="17"/>
              </w:rPr>
              <w:t xml:space="preserve">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03753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774.71 р. за кв.м (8584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B5C6D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9.15% </w:t>
            </w:r>
          </w:p>
        </w:tc>
      </w:tr>
      <w:tr w:rsidR="00000000" w14:paraId="62E93FC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DEF10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Владимирская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D1290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770.44 р. за кв.м (34207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20DF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831.26 р. за кв.м (23211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2DA39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7.89% </w:t>
            </w:r>
          </w:p>
        </w:tc>
      </w:tr>
      <w:tr w:rsidR="00000000" w14:paraId="2802ED01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418FE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Волгоградская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3AC1D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1278.53 р. за кв.м (12417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A8FE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1176.45 р. за кв.м (10081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DE3E2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-7.98% </w:t>
            </w:r>
          </w:p>
        </w:tc>
      </w:tr>
      <w:tr w:rsidR="00000000" w14:paraId="40F8A9A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4B17D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Вологодская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DEF3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641.65 р. за кв.м (14930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3F48A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793.74 р. за кв.м (9677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D3B5F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23.7% </w:t>
            </w:r>
          </w:p>
        </w:tc>
      </w:tr>
      <w:tr w:rsidR="00000000" w14:paraId="4C54A85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91859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Воронежская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BE0F5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1574.31 р. за кв.м (34239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5EC27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1704.19 р. за кв.м (26353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57048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8.25% </w:t>
            </w:r>
          </w:p>
        </w:tc>
      </w:tr>
      <w:tr w:rsidR="00000000" w14:paraId="2F833F93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CA3B5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Дагестан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54360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5048.39 р. за кв.м (24289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A8885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6203.51 р. за кв.м (25451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82A86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22.88% </w:t>
            </w:r>
          </w:p>
        </w:tc>
      </w:tr>
      <w:tr w:rsidR="00000000" w14:paraId="79964541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2AC12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Еврейская АО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4180F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340.29 р. за кв.м (769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FEAE3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339.48 р. за кв.м (661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6E96A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-0.24% </w:t>
            </w:r>
          </w:p>
        </w:tc>
      </w:tr>
      <w:tr w:rsidR="00000000" w14:paraId="4E03281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EBBE7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Забайкальский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F755D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667.93 р. за кв.м (4340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A5EFA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759.39 р. за кв.м (3994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E8AB5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13.69% </w:t>
            </w:r>
          </w:p>
        </w:tc>
      </w:tr>
      <w:tr w:rsidR="00000000" w14:paraId="7FFA2EE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25C64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Ивановская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33AB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736.93 р. за кв.м (9103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56227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957.87 р. за кв.м (7151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752AD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29.98% </w:t>
            </w:r>
          </w:p>
        </w:tc>
      </w:tr>
      <w:tr w:rsidR="00000000" w14:paraId="508DD06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E582B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Ингушетия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D3C46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1905.62 р. за кв.м (2039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225FC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1855.42 р. за кв.м (1688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C271A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-2.63% </w:t>
            </w:r>
          </w:p>
        </w:tc>
      </w:tr>
      <w:tr w:rsidR="00000000" w14:paraId="4084DB5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80F1F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Иркутская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D01FF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1610.25 р. за кв.м (24656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675B9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1788.36 р. за кв.м (17261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326CC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11.06% </w:t>
            </w:r>
          </w:p>
        </w:tc>
      </w:tr>
      <w:tr w:rsidR="00000000" w14:paraId="543A3CE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DFCE3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Кабардино-Балкария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F7A9A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2666.94 р. за кв.м (931</w:t>
            </w:r>
            <w:r>
              <w:rPr>
                <w:rFonts w:eastAsia="Times New Roman"/>
                <w:sz w:val="17"/>
                <w:szCs w:val="17"/>
              </w:rPr>
              <w:t xml:space="preserve">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34BEB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2993.93 р. за кв.м (8827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864CB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12.26% </w:t>
            </w:r>
          </w:p>
        </w:tc>
      </w:tr>
      <w:tr w:rsidR="00000000" w14:paraId="69D78CA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3F791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15DF1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2619.37 р. за кв.м (34747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1B7C5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2504.22 р. за кв.м (21478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7E2ED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-4.4% </w:t>
            </w:r>
          </w:p>
        </w:tc>
      </w:tr>
      <w:tr w:rsidR="00000000" w14:paraId="757BECF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3CA6E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Калмыкия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B045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1174.01 р. за кв.м (1692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4362F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1254.83 р. за кв.м (1381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37747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6.88% </w:t>
            </w:r>
          </w:p>
        </w:tc>
      </w:tr>
      <w:tr w:rsidR="00000000" w14:paraId="7272024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3FBE7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Калужская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7AAE2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1035.65 р. за кв.м (38479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78D11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1022.2 р. за кв.м (28615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FAF41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-1.3% </w:t>
            </w:r>
          </w:p>
        </w:tc>
      </w:tr>
      <w:tr w:rsidR="00000000" w14:paraId="45298F8C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CEFA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Камчатский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6AC35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1279.91 р. за кв.м (1260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D528A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1537.69 р. за кв.м (1180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85DAD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20.14% </w:t>
            </w:r>
          </w:p>
        </w:tc>
      </w:tr>
      <w:tr w:rsidR="00000000" w14:paraId="2DFF48A5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74CA1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Карачаево-Черкесия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79EB9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2828.84 р. за кв.м (6149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4EBBE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2760.23 р. за кв.м (5721 шт</w:t>
            </w:r>
            <w:r>
              <w:rPr>
                <w:rFonts w:eastAsia="Times New Roman"/>
                <w:sz w:val="17"/>
                <w:szCs w:val="17"/>
              </w:rPr>
              <w:t xml:space="preserve">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8C009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-2.43% </w:t>
            </w:r>
          </w:p>
        </w:tc>
      </w:tr>
      <w:tr w:rsidR="00000000" w14:paraId="43C185A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92A6C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Карелия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15DD8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1595.9 р. за кв.м (6495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E0D38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1698.95 р. за кв.м (5815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1F6DB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6.46% </w:t>
            </w:r>
          </w:p>
        </w:tc>
      </w:tr>
      <w:tr w:rsidR="00000000" w14:paraId="1BBC69F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317F5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Кемеровская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EFB38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747.16 р. за кв.м (12054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C72A6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794.36 р. за кв.м (9199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B325C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6.32% </w:t>
            </w:r>
          </w:p>
        </w:tc>
      </w:tr>
      <w:tr w:rsidR="00000000" w14:paraId="28D6002F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3A883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Кировская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8985F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457.08 р. за кв.м (10553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E648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529.03 р. за кв.м (7789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76423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15.74% </w:t>
            </w:r>
          </w:p>
        </w:tc>
      </w:tr>
      <w:tr w:rsidR="00000000" w14:paraId="3977361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D1CF4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Коми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08FC0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842.46 р. за кв.м (5601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BA803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837.64 р. за кв.м (4484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D4F99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-0.57% </w:t>
            </w:r>
          </w:p>
        </w:tc>
      </w:tr>
      <w:tr w:rsidR="00000000" w14:paraId="3CF2358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6331A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Костромская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175967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1251.4 р. за кв.м (10125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19F3D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1089.79 р. за кв.м (6849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ABC00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-12.91% </w:t>
            </w:r>
          </w:p>
        </w:tc>
      </w:tr>
      <w:tr w:rsidR="00000000" w14:paraId="0B365CB6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FCD20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Краснодарский край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129A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7061.72 р. за кв.м (166490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BD3A2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6902.85 р. за кв.м (126490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6C990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-2.25% </w:t>
            </w:r>
          </w:p>
        </w:tc>
      </w:tr>
      <w:tr w:rsidR="00000000" w14:paraId="34A2F66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8F5F1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Красноярский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3F352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784.97 р. за кв.м (22790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E68CB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1041.11 р. за кв.м (18001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B1B61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32.63% </w:t>
            </w:r>
          </w:p>
        </w:tc>
      </w:tr>
      <w:tr w:rsidR="00000000" w14:paraId="097712C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D4B9A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Крым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E2C70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4561.92 р. за кв.м (89728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FB554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4732.14 р. за кв.м (65195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04567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3.73% </w:t>
            </w:r>
          </w:p>
        </w:tc>
      </w:tr>
      <w:tr w:rsidR="00000000" w14:paraId="0BBE27E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18A24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Курганская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156D6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328.62 р. за кв.м (8163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1307C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397.42 р. за кв.м (5945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1EEED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20.94% </w:t>
            </w:r>
          </w:p>
        </w:tc>
      </w:tr>
      <w:tr w:rsidR="00000000" w14:paraId="10FC854C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0E2C7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Курская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CD107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792.96 р. за кв.м (9200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FCD43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810.36 р. за кв.м (8516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66CE1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2.19% </w:t>
            </w:r>
          </w:p>
        </w:tc>
      </w:tr>
      <w:tr w:rsidR="00000000" w14:paraId="38560F4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9278A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Ленинградская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2B291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2652.3 р. за кв.м (</w:t>
            </w:r>
            <w:r>
              <w:rPr>
                <w:rFonts w:eastAsia="Times New Roman"/>
                <w:sz w:val="17"/>
                <w:szCs w:val="17"/>
              </w:rPr>
              <w:t xml:space="preserve">89986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D3EDF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2779.75 р. за кв.м (67941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5DB0D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4.81% </w:t>
            </w:r>
          </w:p>
        </w:tc>
      </w:tr>
      <w:tr w:rsidR="00000000" w14:paraId="4A05BF2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951B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Липецкая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4F5E6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470.41 р. за кв.м (15071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E6196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670.6 р. за кв.м (11826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6A031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42.56% </w:t>
            </w:r>
          </w:p>
        </w:tc>
      </w:tr>
      <w:tr w:rsidR="00000000" w14:paraId="7953105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82482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Магаданская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16E0F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825.54 р. за кв.м (285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C1A45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952.9 р. за кв.м (280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CBAA5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15.43% </w:t>
            </w:r>
          </w:p>
        </w:tc>
      </w:tr>
      <w:tr w:rsidR="00000000" w14:paraId="5EA3736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A7BF8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Марий Эл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6BDF6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877.55 р. за кв.м (5281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67780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1016.01 р. за кв.м (4254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75434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15.78% </w:t>
            </w:r>
          </w:p>
        </w:tc>
      </w:tr>
      <w:tr w:rsidR="00000000" w14:paraId="7CD4759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8F2A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Мордовия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5D986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583.49 р. за кв.м (6234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ABD06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634.62 р. за кв.м (5365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67C3E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8.76% </w:t>
            </w:r>
          </w:p>
        </w:tc>
      </w:tr>
      <w:tr w:rsidR="00000000" w14:paraId="32225D6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B05D3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Москва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F6450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13664.25 р. за кв.м (13508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C3033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16413.22 р. за кв.м (11308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5F67E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20.12% </w:t>
            </w:r>
          </w:p>
        </w:tc>
      </w:tr>
      <w:tr w:rsidR="00000000" w14:paraId="5D94043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668A7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Московская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D9F03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7409.06 р. за кв.м (289298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E1157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7732.45 р. за кв.м (233854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016BD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4.36% </w:t>
            </w:r>
          </w:p>
        </w:tc>
      </w:tr>
      <w:tr w:rsidR="00000000" w14:paraId="300FCAA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732A8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Мурманская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32F70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1049.86 р. за кв.м (1100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3C732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1077.87 р. за кв.м (814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1B942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2.67% </w:t>
            </w:r>
          </w:p>
        </w:tc>
      </w:tr>
      <w:tr w:rsidR="00000000" w14:paraId="01150123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DF2A4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Нижегородская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6516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1208.42 р. за кв.м (29744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2C1EC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1403.58 р. за кв.м</w:t>
            </w:r>
            <w:r>
              <w:rPr>
                <w:rFonts w:eastAsia="Times New Roman"/>
                <w:sz w:val="17"/>
                <w:szCs w:val="17"/>
              </w:rPr>
              <w:t xml:space="preserve"> (24199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A51B4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16.15% </w:t>
            </w:r>
          </w:p>
        </w:tc>
      </w:tr>
      <w:tr w:rsidR="00000000" w14:paraId="670F66C0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D95CF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Новгородская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D0C4A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541.29 р. за кв.м (16299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160EB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554.03 р. за кв.м (12425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3FF10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2.35% </w:t>
            </w:r>
          </w:p>
        </w:tc>
      </w:tr>
      <w:tr w:rsidR="00000000" w14:paraId="3567E54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E5BB3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Новосибирская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4C73F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1568.98 р. за кв.м (33185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0A9B8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1709.46 р. за кв.м (21290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FD9C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8.95% </w:t>
            </w:r>
          </w:p>
        </w:tc>
      </w:tr>
      <w:tr w:rsidR="00000000" w14:paraId="39532ED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D3DE9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Омская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0EFBC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1127.22 р. за кв.м (12061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DCFE3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1074.18 р. за кв.м (9036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2765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-4.71% </w:t>
            </w:r>
          </w:p>
        </w:tc>
      </w:tr>
      <w:tr w:rsidR="00000000" w14:paraId="09BA56F3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38C74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Оренбургская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4181B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1584.07 р. за кв.м (8035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1B7AD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1477.02 р. за кв.м (5758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45618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-6.76% </w:t>
            </w:r>
          </w:p>
        </w:tc>
      </w:tr>
      <w:tr w:rsidR="00000000" w14:paraId="57BB758F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A66DE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Орловская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D26D7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555.41 р. за кв.м (7577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BF2DF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542.55 р. за кв.м (6153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529F7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-2.31% </w:t>
            </w:r>
          </w:p>
        </w:tc>
      </w:tr>
      <w:tr w:rsidR="00000000" w14:paraId="02A604F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99E20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Пен</w:t>
            </w:r>
            <w:r>
              <w:rPr>
                <w:rFonts w:eastAsia="Times New Roman"/>
                <w:sz w:val="17"/>
                <w:szCs w:val="17"/>
              </w:rPr>
              <w:t xml:space="preserve">зенская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381737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1520.09 р. за кв.м (8168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37BAA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1115.79 р. за кв.м (7038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FF8BE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-26.6% </w:t>
            </w:r>
          </w:p>
        </w:tc>
      </w:tr>
      <w:tr w:rsidR="00000000" w14:paraId="06648EF6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19437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Пермский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3EB80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848.45 р. за кв.м (31371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26B61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796.14 р. за кв.м (23693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2375A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-6.17% </w:t>
            </w:r>
          </w:p>
        </w:tc>
      </w:tr>
      <w:tr w:rsidR="00000000" w14:paraId="52B44B55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CD354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Приморский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82C52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1635.8 р. за кв.м (3020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D3595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2572.27 р. за кв.м (2873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1834F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57.25% </w:t>
            </w:r>
          </w:p>
        </w:tc>
      </w:tr>
      <w:tr w:rsidR="00000000" w14:paraId="7E42250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BADBC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Псковская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8EB20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596.31 р. за кв.м (9988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512BC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779.05 р. за кв.м (7642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09850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30.65% </w:t>
            </w:r>
          </w:p>
        </w:tc>
      </w:tr>
      <w:tr w:rsidR="00000000" w14:paraId="48065D8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94622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Республика Алтай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854FF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1918.91 р. за кв.м (9395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58ED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3202.98 р. за кв.м (9372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9A3C4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66.92% </w:t>
            </w:r>
          </w:p>
        </w:tc>
      </w:tr>
      <w:tr w:rsidR="00000000" w14:paraId="719891C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3F150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Ростовская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16999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3615.59 р. за кв.м </w:t>
            </w:r>
            <w:r>
              <w:rPr>
                <w:rFonts w:eastAsia="Times New Roman"/>
                <w:sz w:val="17"/>
                <w:szCs w:val="17"/>
              </w:rPr>
              <w:t xml:space="preserve">(38518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0F0CD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3950.25 р. за кв.м (30433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6CB63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9.26% </w:t>
            </w:r>
          </w:p>
        </w:tc>
      </w:tr>
      <w:tr w:rsidR="00000000" w14:paraId="619DE180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1DB2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Рязанская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53A4F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755.98 р. за кв.м (14731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EB901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805.04 р. за кв.м (11093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0464D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6.49% </w:t>
            </w:r>
          </w:p>
        </w:tc>
      </w:tr>
      <w:tr w:rsidR="00000000" w14:paraId="6BD9D2F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0E0D15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Самарская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CB579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1271.88 р. за кв.м (31473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EBE7B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1449.97 р. за кв.м (25633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243A3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14% </w:t>
            </w:r>
          </w:p>
        </w:tc>
      </w:tr>
      <w:tr w:rsidR="00000000" w14:paraId="681A4C0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7FA4D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Санкт-Петербург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E4058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6888.65 р. за кв.м (12036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B5E1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6997.83 р. за кв.м (9478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9B4E5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1.59% </w:t>
            </w:r>
          </w:p>
        </w:tc>
      </w:tr>
      <w:tr w:rsidR="00000000" w14:paraId="4065B7A6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E4A21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Саратовская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2BCAA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1262.44 р. за кв.м (13555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0AA1F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1499.02 р. за кв.м (9188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F4622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18.74% </w:t>
            </w:r>
          </w:p>
        </w:tc>
      </w:tr>
      <w:tr w:rsidR="00000000" w14:paraId="5050501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433A7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Саха (Якутия)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26B4E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6585.71 р. за кв.м (4711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F7F62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2505.32 р. за кв.м (3961 шт.)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AB6BB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-61.96% </w:t>
            </w:r>
          </w:p>
        </w:tc>
      </w:tr>
      <w:tr w:rsidR="00000000" w14:paraId="3ECCD571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1DE29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Сахалинская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8B93D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2074.26 р. за кв.м (2340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B2E9F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2143.11 р. за кв.м (2367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C7246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3.32% </w:t>
            </w:r>
          </w:p>
        </w:tc>
      </w:tr>
      <w:tr w:rsidR="00000000" w14:paraId="5AA1F90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252F3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Свердловская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90F85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974.53 р. за кв.м (46196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93232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1065.33 р. за кв.м (31880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B76B7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9.32% </w:t>
            </w:r>
          </w:p>
        </w:tc>
      </w:tr>
      <w:tr w:rsidR="00000000" w14:paraId="45E4DEE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DBBB7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Севастополь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B2AA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6005.99 р. за кв.м (17478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42EEA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5918.84 р. за кв.м (10732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CA387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-1.45% </w:t>
            </w:r>
          </w:p>
        </w:tc>
      </w:tr>
      <w:tr w:rsidR="00000000" w14:paraId="0238D11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48548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Северная Осетия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DFC59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1935.71 р. за кв.м (8299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ACFA9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2505.34 р. за кв.м (7976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15610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29.43% </w:t>
            </w:r>
          </w:p>
        </w:tc>
      </w:tr>
      <w:tr w:rsidR="00000000" w14:paraId="604F7C4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B94C7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Смоленская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B87D6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604.52 р. за кв.м (14986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AEC98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521.55 р. за кв.м (10793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76315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-13.72% </w:t>
            </w:r>
          </w:p>
        </w:tc>
      </w:tr>
      <w:tr w:rsidR="00000000" w14:paraId="162C1FA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60311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Ста</w:t>
            </w:r>
            <w:r>
              <w:rPr>
                <w:rFonts w:eastAsia="Times New Roman"/>
                <w:sz w:val="17"/>
                <w:szCs w:val="17"/>
              </w:rPr>
              <w:t xml:space="preserve">вропольский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485C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2949.83 р. за кв.м (23774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10B0B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3518.19 р. за кв.м (18510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357B0F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19.27% </w:t>
            </w:r>
          </w:p>
        </w:tc>
      </w:tr>
      <w:tr w:rsidR="00000000" w14:paraId="2FE4E35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C777E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Тамбовская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4EB24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1178.79 р. за кв.м (8647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1A28D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1184.78 р. за кв.м (7491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9D417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0.51% </w:t>
            </w:r>
          </w:p>
        </w:tc>
      </w:tr>
      <w:tr w:rsidR="00000000" w14:paraId="6E91A481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F1950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Татарстан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EE4DD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2439.52 р. за кв.м (56686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2DCC8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2780.08 р. за кв.м (44943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0D696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13.96% </w:t>
            </w:r>
          </w:p>
        </w:tc>
      </w:tr>
      <w:tr w:rsidR="00000000" w14:paraId="01A71885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60CE0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Тверская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CC51A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2332.54 р. за кв.м (29459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66856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2628.21 р. за кв.м (24578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19CBA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12.68% </w:t>
            </w:r>
          </w:p>
        </w:tc>
      </w:tr>
      <w:tr w:rsidR="00000000" w14:paraId="0704A41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645F0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Томская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9EC95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1556.08 р. за кв.м (7488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9FEC1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1652.02 р. за кв.м (5484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731A7F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6.16% </w:t>
            </w:r>
          </w:p>
        </w:tc>
      </w:tr>
      <w:tr w:rsidR="00000000" w14:paraId="090FBE96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18C50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Тульская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4B64E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794.62 р. за кв.м (</w:t>
            </w:r>
            <w:r>
              <w:rPr>
                <w:rFonts w:eastAsia="Times New Roman"/>
                <w:sz w:val="17"/>
                <w:szCs w:val="17"/>
              </w:rPr>
              <w:t xml:space="preserve">31720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69BC3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874.66 р. за кв.м (22815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6677D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10.07% </w:t>
            </w:r>
          </w:p>
        </w:tc>
      </w:tr>
      <w:tr w:rsidR="00000000" w14:paraId="217856CF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0F274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Тыва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63B8A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1320.44 р. за кв.м (828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AE8B1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2094.31 р. за кв.м (1657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1A0D2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58.61% </w:t>
            </w:r>
          </w:p>
        </w:tc>
      </w:tr>
      <w:tr w:rsidR="00000000" w14:paraId="49F3F86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0A7066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Тюменская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ADC15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1598.42 р. за кв.м (85179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DFD0B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1923.4 р. за кв.м (54763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B57FF9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20.33% </w:t>
            </w:r>
          </w:p>
        </w:tc>
      </w:tr>
      <w:tr w:rsidR="00000000" w14:paraId="4C9DFAB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8E418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Удмуртия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744F9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870.81 р. за кв.м (16666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1DA6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936.96 р. за кв.м (13031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8760E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7.6% </w:t>
            </w:r>
          </w:p>
        </w:tc>
      </w:tr>
      <w:tr w:rsidR="00000000" w14:paraId="5C271D1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A885D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Ульяновская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24566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1614.09 р. за кв.м (7917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12EB6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1459.89 р. за кв.м (6684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DDCDA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-9.55% </w:t>
            </w:r>
          </w:p>
        </w:tc>
      </w:tr>
      <w:tr w:rsidR="00000000" w14:paraId="79EAA3C3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94CA2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Хабаровский край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1B6A1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996.28 р. за кв.м (7810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CC107B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1312.79 р. за кв.м (5807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519C6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31.77% </w:t>
            </w:r>
          </w:p>
        </w:tc>
      </w:tr>
      <w:tr w:rsidR="00000000" w14:paraId="2D8F7C6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99697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Хакасия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D6F331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611.5 р. за кв.м (9060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091E0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628.95 р. за кв.м (7118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D0DBD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2.85% </w:t>
            </w:r>
          </w:p>
        </w:tc>
      </w:tr>
      <w:tr w:rsidR="00000000" w14:paraId="55A501C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A49AC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Ханты-Мансийский АО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9D31EA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1480.16 р. за кв.м (10096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4B126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1691.66 р. за кв.м (6989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20CF1C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14.29% </w:t>
            </w:r>
          </w:p>
        </w:tc>
      </w:tr>
      <w:tr w:rsidR="00000000" w14:paraId="1535B90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4284B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Челябинская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E939C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844 р. за кв.м (30037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E59E84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1069.67 р. за кв.м (22803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3097A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26.74% </w:t>
            </w:r>
          </w:p>
        </w:tc>
      </w:tr>
      <w:tr w:rsidR="00000000" w14:paraId="74F5592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073A1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Чеченская Республика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4BB52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3118.25 р. за кв.м (14465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71999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3243.42 р. за кв.м (12399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1E42C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4.01% </w:t>
            </w:r>
          </w:p>
        </w:tc>
      </w:tr>
      <w:tr w:rsidR="00000000" w14:paraId="009729EB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69631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Чувашия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D0A446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1313.56 р. за кв.м (9571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F05E8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1567.63 р. за кв.м (7417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67DD0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19.34% </w:t>
            </w:r>
          </w:p>
        </w:tc>
      </w:tr>
      <w:tr w:rsidR="00000000" w14:paraId="49A6FFD5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22FBDB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Ямало-Ненецкий АО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8DE8C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3685.51 р. за кв.м (10</w:t>
            </w:r>
            <w:r>
              <w:rPr>
                <w:rFonts w:eastAsia="Times New Roman"/>
                <w:sz w:val="17"/>
                <w:szCs w:val="17"/>
              </w:rPr>
              <w:t xml:space="preserve">93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28E52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4672.43 р. за кв.м (812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ECCDF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26.78% </w:t>
            </w:r>
          </w:p>
        </w:tc>
      </w:tr>
      <w:tr w:rsidR="00000000" w14:paraId="7B8C97B0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B16C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Ярославская область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9EB68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901.02 р. за кв.м (27273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CCB68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920.47 р. за кв.м (20012 шт.)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82308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2.16% </w:t>
            </w:r>
          </w:p>
        </w:tc>
      </w:tr>
    </w:tbl>
    <w:p w14:paraId="5BA42376" w14:textId="77777777" w:rsidR="00000000" w:rsidRDefault="004D0F7E">
      <w:pPr>
        <w:pStyle w:val="a5"/>
        <w:divId w:val="1520848477"/>
      </w:pPr>
      <w:r>
        <w:t>Наибольший рост цен участков под ИЖС зафиксирован в - Республика Алтай (+ 66.92%), Тыва (+ 58.61%), Приморский край (+ 57.25%) и Липецкая область (+ 32.63%).</w:t>
      </w:r>
    </w:p>
    <w:p w14:paraId="42F14EB1" w14:textId="77777777" w:rsidR="00000000" w:rsidRDefault="004D0F7E">
      <w:pPr>
        <w:pStyle w:val="a5"/>
        <w:divId w:val="1520848477"/>
      </w:pPr>
      <w:r>
        <w:t>При этом, в других регионах цены на землю снизились по сравнению с прошлым годом, это - Саха (Якут</w:t>
      </w:r>
      <w:r>
        <w:t>ия) (-61.96%), Пензенская область (-26.6%), Смоленская область (-13.72%).</w:t>
      </w:r>
    </w:p>
    <w:p w14:paraId="3E64BA90" w14:textId="77777777" w:rsidR="00000000" w:rsidRDefault="004D0F7E">
      <w:pPr>
        <w:pStyle w:val="a5"/>
        <w:divId w:val="1520848477"/>
      </w:pPr>
      <w:r>
        <w:rPr>
          <w:rStyle w:val="a6"/>
          <w:u w:val="single"/>
        </w:rPr>
        <w:t>Источник информации: архив Оценщика</w:t>
      </w:r>
    </w:p>
    <w:p w14:paraId="3955ED1F" w14:textId="77777777" w:rsidR="00000000" w:rsidRDefault="004D0F7E">
      <w:pPr>
        <w:pStyle w:val="3"/>
        <w:divId w:val="1520848477"/>
        <w:rPr>
          <w:rFonts w:eastAsia="Times New Roman"/>
        </w:rPr>
      </w:pPr>
      <w:r>
        <w:rPr>
          <w:rFonts w:eastAsia="Times New Roman"/>
        </w:rPr>
        <w:t>Анализ рынка земельных участков в Регионе</w:t>
      </w:r>
    </w:p>
    <w:p w14:paraId="30768AB1" w14:textId="77777777" w:rsidR="00000000" w:rsidRDefault="004D0F7E">
      <w:pPr>
        <w:pStyle w:val="a5"/>
        <w:divId w:val="1520848477"/>
      </w:pPr>
      <w:r>
        <w:t xml:space="preserve">В регионе за 2023г. на вторичном рынке представлено большое количество предложений по продажам земельных участков. </w:t>
      </w:r>
    </w:p>
    <w:p w14:paraId="4EB36644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</w:rPr>
        <w:t>Предложения по продажам земельных участков в регионе</w:t>
      </w:r>
    </w:p>
    <w:p w14:paraId="536720DC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3A958D5" wp14:editId="42C1E827">
            <wp:extent cx="3810000" cy="381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6FD0" w14:textId="77777777" w:rsidR="00000000" w:rsidRDefault="004D0F7E">
      <w:pPr>
        <w:pStyle w:val="a5"/>
        <w:divId w:val="1520848477"/>
      </w:pPr>
      <w:r>
        <w:t>Исходя из анализа, максимальное количество пре</w:t>
      </w:r>
      <w:r>
        <w:t>дложений по продаже земельных участков приходится на земельные участки под индивидуальное жилищное строительство (ИЖС).</w:t>
      </w:r>
    </w:p>
    <w:p w14:paraId="46225AE0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3F3F4EA" wp14:editId="61077931">
            <wp:extent cx="5715000" cy="381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14D3" w14:textId="77777777" w:rsidR="00000000" w:rsidRDefault="004D0F7E">
      <w:pPr>
        <w:pStyle w:val="a5"/>
        <w:divId w:val="1520848477"/>
      </w:pPr>
      <w:r>
        <w:t xml:space="preserve">В основном предлагаются к продаже земельные участки площадью от 417 кв.м. до 1 200 кв.м. Крупные земельные </w:t>
      </w:r>
      <w:r>
        <w:t>участки свыше 3000 кв.м. продаются от вдали от центров населенных пунктов. Как правильно, пустые без строений, не обеспеченные коммуникациями.</w:t>
      </w:r>
    </w:p>
    <w:p w14:paraId="70FCA722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6C131E0" wp14:editId="6CA35FD9">
            <wp:extent cx="5715000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C44E" w14:textId="77777777" w:rsidR="00000000" w:rsidRDefault="004D0F7E">
      <w:pPr>
        <w:pStyle w:val="a5"/>
        <w:divId w:val="1520848477"/>
      </w:pPr>
      <w:r>
        <w:t xml:space="preserve">Максимальное количество предложений находится в диапазоне до 125 руб./кв.м. до 360 </w:t>
      </w:r>
      <w:r>
        <w:t>руб./кв.м. Самые дорогие предлагаемые к продаже объекты находятся в крупных населенных пунктов и в близи от них. Самые дешевые находятся в небольших населенных пунктах (деревни, села и. т.п.) вдали от федеральных трасс.</w:t>
      </w:r>
    </w:p>
    <w:p w14:paraId="770BAF09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2A1033D" wp14:editId="06061B4C">
            <wp:extent cx="5715000" cy="381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F025" w14:textId="77777777" w:rsidR="00000000" w:rsidRDefault="004D0F7E">
      <w:pPr>
        <w:pStyle w:val="a5"/>
        <w:divId w:val="1520848477"/>
      </w:pPr>
      <w:r>
        <w:t>На данном графике видна зависимость удельной цены от площади. Чем б</w:t>
      </w:r>
      <w:r>
        <w:t>ольше площадь, тем дешевле продается объект.</w:t>
      </w:r>
    </w:p>
    <w:p w14:paraId="3A77894B" w14:textId="77777777" w:rsidR="00000000" w:rsidRDefault="004D0F7E">
      <w:pPr>
        <w:jc w:val="center"/>
        <w:divId w:val="1520848477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351E7CF" wp14:editId="6836C8B0">
            <wp:extent cx="5715000" cy="571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4"/>
        <w:gridCol w:w="3080"/>
        <w:gridCol w:w="4325"/>
      </w:tblGrid>
      <w:tr w:rsidR="00000000" w14:paraId="617E8B70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DAD18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Регион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A4BBE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Количество предложений за 2023 г.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C9459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Средняя цена</w:t>
            </w:r>
            <w:r>
              <w:rPr>
                <w:rFonts w:eastAsia="Times New Roman"/>
                <w:sz w:val="17"/>
                <w:szCs w:val="17"/>
              </w:rPr>
              <w:br/>
            </w:r>
            <w:r>
              <w:rPr>
                <w:rStyle w:val="a7"/>
                <w:rFonts w:eastAsia="Times New Roman"/>
                <w:sz w:val="17"/>
                <w:szCs w:val="17"/>
              </w:rPr>
              <w:t>за кв. м. в период 01.01.2023 - 01.01.2024, р. за кв.м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</w:tr>
      <w:tr w:rsidR="00000000" w14:paraId="7D2CC70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EB837A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Самара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3B03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4597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F04909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4153.57 </w:t>
            </w:r>
          </w:p>
        </w:tc>
      </w:tr>
      <w:tr w:rsidR="00000000" w14:paraId="5F80AEB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DD2CC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Новокуйбышевск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0B3C8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833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1E2BB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1655.79 </w:t>
            </w:r>
          </w:p>
        </w:tc>
      </w:tr>
      <w:tr w:rsidR="00000000" w14:paraId="2917E481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BBF0D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Волжский район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12FE5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1086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B4E73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1642.31 </w:t>
            </w:r>
          </w:p>
        </w:tc>
      </w:tr>
      <w:tr w:rsidR="00000000" w14:paraId="5DE60D8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4A5FE6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Подстепки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1EAC6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878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C9FC7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1181.67 </w:t>
            </w:r>
          </w:p>
        </w:tc>
      </w:tr>
      <w:tr w:rsidR="00000000" w14:paraId="3DE6718E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A2FB9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Красноярский район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9BBFF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790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20C30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1163.85 </w:t>
            </w:r>
          </w:p>
        </w:tc>
      </w:tr>
      <w:tr w:rsidR="00000000" w14:paraId="17C4F4B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9F2D2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Сызрань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94167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940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2EE99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1155.27 </w:t>
            </w:r>
          </w:p>
        </w:tc>
      </w:tr>
      <w:tr w:rsidR="00000000" w14:paraId="1248F33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9ECF1C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Тольятти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05908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2247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866E7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1152.03 </w:t>
            </w:r>
          </w:p>
        </w:tc>
      </w:tr>
      <w:tr w:rsidR="00000000" w14:paraId="2B3366AA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A78E7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Ставропольский район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119DB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841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DC1C3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952.09 </w:t>
            </w:r>
          </w:p>
        </w:tc>
      </w:tr>
      <w:tr w:rsidR="00000000" w14:paraId="22E51D7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F644D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Кинель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BB2DE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1116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DD4D2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906.56 </w:t>
            </w:r>
          </w:p>
        </w:tc>
      </w:tr>
      <w:tr w:rsidR="00000000" w14:paraId="34A629B4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AA851D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Усть-Кинельский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58AFB9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429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5A276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838.41 </w:t>
            </w:r>
          </w:p>
        </w:tc>
      </w:tr>
      <w:tr w:rsidR="00000000" w14:paraId="2B1AB28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59ABA53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Жигулевск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BEAFD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338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0B572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763.26 </w:t>
            </w:r>
          </w:p>
        </w:tc>
      </w:tr>
      <w:tr w:rsidR="00000000" w14:paraId="5A8D2E9D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3EE21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Новосемейкино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739E6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409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9086B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745.27 </w:t>
            </w:r>
          </w:p>
        </w:tc>
      </w:tr>
      <w:tr w:rsidR="00000000" w14:paraId="4BC6289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421AD8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Мирный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0CBA3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617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4FCF0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708.41 </w:t>
            </w:r>
          </w:p>
        </w:tc>
      </w:tr>
      <w:tr w:rsidR="00000000" w14:paraId="06A8DE05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101C2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Хрящевка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158C5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374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B6B77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542.08 </w:t>
            </w:r>
          </w:p>
        </w:tc>
      </w:tr>
      <w:tr w:rsidR="00000000" w14:paraId="53E6FDF0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5A297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Дубовый Умет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F607F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770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9D202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539.64 </w:t>
            </w:r>
          </w:p>
        </w:tc>
      </w:tr>
      <w:tr w:rsidR="00000000" w14:paraId="167D2452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FA8B98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Красный Яр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E1511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1299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CF1E22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512.57 </w:t>
            </w:r>
          </w:p>
        </w:tc>
      </w:tr>
      <w:tr w:rsidR="00000000" w14:paraId="5C8E2EB8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E71BE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Безенчук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265D0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557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CB0BBD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510.55 </w:t>
            </w:r>
          </w:p>
        </w:tc>
      </w:tr>
      <w:tr w:rsidR="00000000" w14:paraId="30EA7F24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5A3399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Отрадный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E5FDA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395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418DD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489.68 </w:t>
            </w:r>
          </w:p>
        </w:tc>
      </w:tr>
      <w:tr w:rsidR="00000000" w14:paraId="55E39099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1C575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Чапаевск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4FF84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537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F49AC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471.36 </w:t>
            </w:r>
          </w:p>
        </w:tc>
      </w:tr>
      <w:tr w:rsidR="00000000" w14:paraId="3A597C87" w14:textId="77777777">
        <w:trPr>
          <w:divId w:val="15208484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2F2D8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Спиридоновка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F255C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419 шт.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D0B26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327.53 </w:t>
            </w:r>
          </w:p>
        </w:tc>
      </w:tr>
    </w:tbl>
    <w:p w14:paraId="160B0FBA" w14:textId="77777777" w:rsidR="00000000" w:rsidRDefault="004D0F7E">
      <w:pPr>
        <w:pStyle w:val="a5"/>
        <w:divId w:val="1520848477"/>
      </w:pPr>
      <w:r>
        <w:t xml:space="preserve">На графике представлены средние цены в различных локациях (Области, города, районы и прочие нас. пункты). Самые дорогие представлены в городах с высокой плотностью населения. Показаны лишь те локации, где есть достаточное количество предложений о продажах </w:t>
      </w:r>
      <w:r>
        <w:t>земельных участков под ИЖС.</w:t>
      </w:r>
    </w:p>
    <w:p w14:paraId="41670D64" w14:textId="77777777" w:rsidR="00000000" w:rsidRDefault="004D0F7E">
      <w:pPr>
        <w:pStyle w:val="a5"/>
        <w:divId w:val="1520848477"/>
      </w:pPr>
      <w:r>
        <w:rPr>
          <w:rStyle w:val="a6"/>
          <w:u w:val="single"/>
        </w:rPr>
        <w:t>Источник информации: архив Оценщика</w:t>
      </w:r>
    </w:p>
    <w:p w14:paraId="29797F5C" w14:textId="77777777" w:rsidR="00000000" w:rsidRDefault="004D0F7E">
      <w:pPr>
        <w:pStyle w:val="3"/>
        <w:divId w:val="1520848477"/>
        <w:rPr>
          <w:rFonts w:eastAsia="Times New Roman"/>
        </w:rPr>
      </w:pPr>
      <w:r>
        <w:rPr>
          <w:rFonts w:eastAsia="Times New Roman"/>
        </w:rPr>
        <w:t>Анализ основных факторов, влияющих на спрос, предложение и цены объектов недвижимости</w:t>
      </w:r>
    </w:p>
    <w:p w14:paraId="3517B195" w14:textId="77777777" w:rsidR="00000000" w:rsidRDefault="004D0F7E">
      <w:pPr>
        <w:pStyle w:val="a5"/>
        <w:divId w:val="1520848477"/>
      </w:pPr>
      <w:r>
        <w:rPr>
          <w:rStyle w:val="a7"/>
        </w:rPr>
        <w:t>Информация о спросе.</w:t>
      </w:r>
    </w:p>
    <w:p w14:paraId="69046DB4" w14:textId="77777777" w:rsidR="00000000" w:rsidRDefault="004D0F7E">
      <w:pPr>
        <w:pStyle w:val="a5"/>
        <w:divId w:val="1520848477"/>
      </w:pPr>
      <w:r>
        <w:t>Наличие достаточного количества предложений на рынке в сегменте жилой недвижимости пр</w:t>
      </w:r>
      <w:r>
        <w:t>едоставляет инвестору возможность самостоятельно подобрать объект для приобретения или под аренду. Имеющееся в средствах массовой информации незначительное количество объявлений о спросе земельных участках под ИЖС в большинстве случаев представляют собой с</w:t>
      </w:r>
      <w:r>
        <w:t xml:space="preserve">бор информации риэлтерскими компаниями и привлечение потенциальных продавцов недвижимости. </w:t>
      </w:r>
    </w:p>
    <w:p w14:paraId="69F184A7" w14:textId="77777777" w:rsidR="00000000" w:rsidRDefault="004D0F7E">
      <w:pPr>
        <w:pStyle w:val="a5"/>
        <w:divId w:val="1520848477"/>
      </w:pPr>
      <w:r>
        <w:t xml:space="preserve">Таким образом, маркетинговая подоплека информации о требуемых объектах не позволяет с уверенностью говорить о настоящем покупательском спросе и тем более проводить </w:t>
      </w:r>
      <w:r>
        <w:t>его анализ.</w:t>
      </w:r>
    </w:p>
    <w:p w14:paraId="717AFAF1" w14:textId="77777777" w:rsidR="00000000" w:rsidRDefault="004D0F7E">
      <w:pPr>
        <w:pStyle w:val="a5"/>
        <w:divId w:val="1520848477"/>
      </w:pPr>
      <w:r>
        <w:rPr>
          <w:rStyle w:val="a7"/>
        </w:rPr>
        <w:t>Информация по ценообразующим факторам, использовавшимся при определении стоимости, обоснование значений или диапазонов значений ценообразующих факторов</w:t>
      </w:r>
    </w:p>
    <w:p w14:paraId="15F9EE8F" w14:textId="77777777" w:rsidR="00000000" w:rsidRDefault="004D0F7E">
      <w:pPr>
        <w:pStyle w:val="a5"/>
        <w:divId w:val="1520848477"/>
      </w:pPr>
      <w:r>
        <w:t>Можно выделить ряд основных факторов, влияющих на ценообразование земельных участков под ИЖС</w:t>
      </w:r>
      <w:r>
        <w:t>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7"/>
        <w:gridCol w:w="5172"/>
      </w:tblGrid>
      <w:tr w:rsidR="00000000" w14:paraId="68F21904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4192EE" w14:textId="77777777" w:rsidR="00000000" w:rsidRDefault="004D0F7E">
            <w:pPr>
              <w:jc w:val="center"/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Фактор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AE8A07" w14:textId="77777777" w:rsidR="00000000" w:rsidRDefault="004D0F7E">
            <w:pPr>
              <w:jc w:val="center"/>
              <w:rPr>
                <w:rFonts w:eastAsia="Times New Roman"/>
                <w:sz w:val="17"/>
                <w:szCs w:val="17"/>
              </w:rPr>
            </w:pPr>
            <w:r>
              <w:rPr>
                <w:rStyle w:val="a7"/>
                <w:rFonts w:eastAsia="Times New Roman"/>
                <w:sz w:val="17"/>
                <w:szCs w:val="17"/>
              </w:rPr>
              <w:t>Значение</w:t>
            </w:r>
            <w:r>
              <w:rPr>
                <w:rFonts w:eastAsia="Times New Roman"/>
                <w:sz w:val="17"/>
                <w:szCs w:val="17"/>
              </w:rPr>
              <w:t xml:space="preserve"> </w:t>
            </w:r>
          </w:p>
        </w:tc>
      </w:tr>
      <w:tr w:rsidR="00000000" w14:paraId="20F91060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B68C91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Местоположение (близость к областному центру)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3B4F8C" w14:textId="77777777" w:rsidR="00000000" w:rsidRDefault="004D0F7E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Областной центр</w:t>
            </w:r>
          </w:p>
          <w:p w14:paraId="56678287" w14:textId="77777777" w:rsidR="00000000" w:rsidRDefault="004D0F7E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В ближайшей окрестности областного центра</w:t>
            </w:r>
          </w:p>
          <w:p w14:paraId="5C07589F" w14:textId="77777777" w:rsidR="00000000" w:rsidRDefault="004D0F7E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Райцентр с развитой промышленностью</w:t>
            </w:r>
          </w:p>
          <w:p w14:paraId="20DFB4F7" w14:textId="77777777" w:rsidR="00000000" w:rsidRDefault="004D0F7E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Райцентры сельскохозяйственных районов</w:t>
            </w:r>
          </w:p>
          <w:p w14:paraId="412E1C1B" w14:textId="77777777" w:rsidR="00000000" w:rsidRDefault="004D0F7E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Прочие населённые пункты</w:t>
            </w:r>
          </w:p>
        </w:tc>
      </w:tr>
      <w:tr w:rsidR="00000000" w14:paraId="701DAB42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F6012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Местоположение (в пределах города)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197EE12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Центр города</w:t>
            </w:r>
          </w:p>
          <w:p w14:paraId="2C94F066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Центры деловой активности</w:t>
            </w:r>
          </w:p>
          <w:p w14:paraId="68D733F2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Зоны автомагистралей</w:t>
            </w:r>
          </w:p>
          <w:p w14:paraId="22F0C247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Индивидуальные жилые дома</w:t>
            </w:r>
          </w:p>
          <w:p w14:paraId="0959DED6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Многоквартирная жилая застройка</w:t>
            </w:r>
          </w:p>
          <w:p w14:paraId="57C65E54" w14:textId="77777777" w:rsidR="00000000" w:rsidRDefault="004D0F7E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Окраины города, промзоны</w:t>
            </w:r>
          </w:p>
        </w:tc>
      </w:tr>
      <w:tr w:rsidR="00000000" w14:paraId="6D678BD1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3FEEA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Численность населённого пункта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B330E4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Число </w:t>
            </w:r>
          </w:p>
        </w:tc>
      </w:tr>
      <w:tr w:rsidR="00000000" w14:paraId="7468C976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6BCDD5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Средняя заработная плата в населённо</w:t>
            </w:r>
            <w:r>
              <w:rPr>
                <w:rFonts w:eastAsia="Times New Roman"/>
                <w:sz w:val="17"/>
                <w:szCs w:val="17"/>
              </w:rPr>
              <w:t xml:space="preserve">е пункте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C4366E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Число </w:t>
            </w:r>
          </w:p>
        </w:tc>
      </w:tr>
      <w:tr w:rsidR="00000000" w14:paraId="613F03FC" w14:textId="77777777">
        <w:trPr>
          <w:divId w:val="1520848477"/>
        </w:trPr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305BA3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C59DAE" w14:textId="77777777" w:rsidR="00000000" w:rsidRDefault="004D0F7E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 w14:paraId="3ACB7792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88CA57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Расстояние до областного центра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FC745BF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Число </w:t>
            </w:r>
          </w:p>
        </w:tc>
      </w:tr>
      <w:tr w:rsidR="00000000" w14:paraId="66EC032B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AB6E4F2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Удаленность от остановок общественного транспорта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79E7A3" w14:textId="77777777" w:rsidR="00000000" w:rsidRDefault="004D0F7E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Близость к остановке общественного транспорта</w:t>
            </w:r>
          </w:p>
          <w:p w14:paraId="70B83C3E" w14:textId="77777777" w:rsidR="00000000" w:rsidRDefault="004D0F7E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На удалении от остановок общественного транспорта</w:t>
            </w:r>
          </w:p>
        </w:tc>
      </w:tr>
      <w:tr w:rsidR="00000000" w14:paraId="0D14BFA7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427126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Близость к объектам повышающим стоимость (водоем, лес, и т.д.)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FB8132" w14:textId="77777777" w:rsidR="00000000" w:rsidRDefault="004D0F7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Близость к объектам повышающим стоимость (водоем, лес, и т.д.)</w:t>
            </w:r>
          </w:p>
          <w:p w14:paraId="3D980C18" w14:textId="77777777" w:rsidR="00000000" w:rsidRDefault="004D0F7E">
            <w:pPr>
              <w:numPr>
                <w:ilvl w:val="0"/>
                <w:numId w:val="17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На удалении от к объектов повышающих стоимость (водоем, лес, и т.д.)</w:t>
            </w:r>
          </w:p>
        </w:tc>
      </w:tr>
      <w:tr w:rsidR="00000000" w14:paraId="07CACFC2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090F5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Близость к объектам понижающим стоимость (магистраль, ж/д, </w:t>
            </w:r>
            <w:r>
              <w:rPr>
                <w:rFonts w:eastAsia="Times New Roman"/>
                <w:sz w:val="17"/>
                <w:szCs w:val="17"/>
              </w:rPr>
              <w:t xml:space="preserve">аэропорт, ЛЭП)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9EFDE9" w14:textId="77777777" w:rsidR="00000000" w:rsidRDefault="004D0F7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Близость к объектам понижающим стоимость (магистраль, ж/д, аэропорт, ЛЭП)</w:t>
            </w:r>
          </w:p>
          <w:p w14:paraId="3C7FA431" w14:textId="77777777" w:rsidR="00000000" w:rsidRDefault="004D0F7E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На удалении от объектов понижающим стоимость (магистраль, ж/д, аэропорт, ЛЭП)</w:t>
            </w:r>
          </w:p>
        </w:tc>
      </w:tr>
      <w:tr w:rsidR="00000000" w14:paraId="3AF5832D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9104CB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Размеры (фактор масштаба)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71A5E0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Число </w:t>
            </w:r>
          </w:p>
        </w:tc>
      </w:tr>
      <w:tr w:rsidR="00000000" w14:paraId="3F26406C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B6387A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Качество подъездных дорог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A18613" w14:textId="77777777" w:rsidR="00000000" w:rsidRDefault="004D0F7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Хорошие подъездные пути</w:t>
            </w:r>
          </w:p>
          <w:p w14:paraId="63A15427" w14:textId="77777777" w:rsidR="00000000" w:rsidRDefault="004D0F7E">
            <w:pPr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П</w:t>
            </w:r>
            <w:r>
              <w:rPr>
                <w:rFonts w:eastAsia="Times New Roman"/>
                <w:sz w:val="17"/>
                <w:szCs w:val="17"/>
              </w:rPr>
              <w:t>одъезд затруднен</w:t>
            </w:r>
          </w:p>
        </w:tc>
      </w:tr>
      <w:tr w:rsidR="00000000" w14:paraId="6A47C0D9" w14:textId="77777777">
        <w:trPr>
          <w:divId w:val="1520848477"/>
        </w:trPr>
        <w:tc>
          <w:tcPr>
            <w:tcW w:w="4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824A6C" w14:textId="77777777" w:rsidR="00000000" w:rsidRDefault="004D0F7E">
            <w:pPr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Обеспеченность коммуникациями </w:t>
            </w:r>
          </w:p>
        </w:tc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6DED3F" w14:textId="77777777" w:rsidR="00000000" w:rsidRDefault="004D0F7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Обеспеченные электроснабжением</w:t>
            </w:r>
          </w:p>
          <w:p w14:paraId="523365D3" w14:textId="77777777" w:rsidR="00000000" w:rsidRDefault="004D0F7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Обеспеченные газоснабжением</w:t>
            </w:r>
          </w:p>
          <w:p w14:paraId="18D624A0" w14:textId="77777777" w:rsidR="00000000" w:rsidRDefault="004D0F7E">
            <w:pPr>
              <w:numPr>
                <w:ilvl w:val="0"/>
                <w:numId w:val="20"/>
              </w:numPr>
              <w:spacing w:before="100" w:beforeAutospacing="1" w:after="100" w:afterAutospacing="1"/>
              <w:rPr>
                <w:rFonts w:eastAsia="Times New Roman"/>
                <w:sz w:val="17"/>
                <w:szCs w:val="17"/>
              </w:rPr>
            </w:pPr>
            <w:r>
              <w:rPr>
                <w:rFonts w:eastAsia="Times New Roman"/>
                <w:sz w:val="17"/>
                <w:szCs w:val="17"/>
              </w:rPr>
              <w:t>Обеспеченные водоснабжением и коммуникациями</w:t>
            </w:r>
          </w:p>
        </w:tc>
      </w:tr>
    </w:tbl>
    <w:p w14:paraId="5DBE43E9" w14:textId="77777777" w:rsidR="00000000" w:rsidRDefault="004D0F7E">
      <w:pPr>
        <w:pStyle w:val="a5"/>
        <w:divId w:val="1520848477"/>
      </w:pPr>
      <w:r>
        <w:t>Степень влияния ценообразующих факторов на цену объекта отражена в исследованиях, приведенных в издании «Справочнике оценщика недвижимости-2022. «Земельные участки». Под редакцией Л. Лейфера, Н. Новгород 2022г.</w:t>
      </w:r>
    </w:p>
    <w:p w14:paraId="67401DE1" w14:textId="77777777" w:rsidR="00000000" w:rsidRDefault="004D0F7E">
      <w:pPr>
        <w:pStyle w:val="a5"/>
        <w:divId w:val="1520848477"/>
      </w:pPr>
      <w:r>
        <w:t>В рамках данного исследования проведен анализ</w:t>
      </w:r>
      <w:r>
        <w:t xml:space="preserve"> статистической информации и данных, полученных по результатам экспертного опроса для территории России по ценам предложений земельных участков, собранных на протяжении 2021 года. Количество объявлений, которые были использованы во время анализа после искл</w:t>
      </w:r>
      <w:r>
        <w:t>ючения всех малоинформативных или нестандартных объявлений более 300 тыс. объектов.</w:t>
      </w:r>
    </w:p>
    <w:p w14:paraId="21C73195" w14:textId="77777777" w:rsidR="00000000" w:rsidRDefault="004D0F7E">
      <w:pPr>
        <w:pStyle w:val="a5"/>
        <w:divId w:val="1520848477"/>
      </w:pPr>
      <w:r>
        <w:t>На рынке недостаточно однородных объектов, позволяющих корректно установить влияние ценообразующих факторов на стоимость объекта, и сопоставили их с данными «Справочника оц</w:t>
      </w:r>
      <w:r>
        <w:t>енщика недвижимости – 2022 г.» «Земельные участки». Под редакцией Л. Лейфера, Н. Новгород 2022г.</w:t>
      </w:r>
    </w:p>
    <w:p w14:paraId="71C5E9BB" w14:textId="77777777" w:rsidR="00000000" w:rsidRDefault="004D0F7E">
      <w:pPr>
        <w:pStyle w:val="a5"/>
        <w:divId w:val="1520848477"/>
      </w:pPr>
      <w:r>
        <w:t>По нашему мнению, объективная экономическая основа формирования стоимости и влияние факторов на цену объекта позволяет воспользоваться опытом сообщества оценщи</w:t>
      </w:r>
      <w:r>
        <w:t>ков России и использовать сведения справочника для проведения расчетов рыночной стоимости объектов.</w: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15550"/>
    <w:multiLevelType w:val="multilevel"/>
    <w:tmpl w:val="6E54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B2387"/>
    <w:multiLevelType w:val="multilevel"/>
    <w:tmpl w:val="553A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98165D"/>
    <w:multiLevelType w:val="multilevel"/>
    <w:tmpl w:val="65363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CA0A6F"/>
    <w:multiLevelType w:val="multilevel"/>
    <w:tmpl w:val="F170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3E4BEE"/>
    <w:multiLevelType w:val="multilevel"/>
    <w:tmpl w:val="4386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73685"/>
    <w:multiLevelType w:val="multilevel"/>
    <w:tmpl w:val="AF6C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BA6BDD"/>
    <w:multiLevelType w:val="multilevel"/>
    <w:tmpl w:val="7F24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BE25BD"/>
    <w:multiLevelType w:val="hybridMultilevel"/>
    <w:tmpl w:val="DD70C81C"/>
    <w:lvl w:ilvl="0" w:tplc="85CA20E6">
      <w:start w:val="1"/>
      <w:numFmt w:val="decimal"/>
      <w:lvlText w:val="Таблица №%1"/>
      <w:lvlJc w:val="right"/>
      <w:pPr>
        <w:tabs>
          <w:tab w:val="num" w:pos="794"/>
        </w:tabs>
        <w:ind w:left="72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B96177"/>
    <w:multiLevelType w:val="multilevel"/>
    <w:tmpl w:val="CC02D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F86D21"/>
    <w:multiLevelType w:val="multilevel"/>
    <w:tmpl w:val="920C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2A38C2"/>
    <w:multiLevelType w:val="multilevel"/>
    <w:tmpl w:val="3C66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2B5543"/>
    <w:multiLevelType w:val="multilevel"/>
    <w:tmpl w:val="7412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572C9C"/>
    <w:multiLevelType w:val="multilevel"/>
    <w:tmpl w:val="35AA2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0373FB"/>
    <w:multiLevelType w:val="multilevel"/>
    <w:tmpl w:val="1B364368"/>
    <w:lvl w:ilvl="0">
      <w:start w:val="1"/>
      <w:numFmt w:val="decimal"/>
      <w:pStyle w:val="1"/>
      <w:lvlText w:val="%1."/>
      <w:lvlJc w:val="center"/>
      <w:pPr>
        <w:tabs>
          <w:tab w:val="num" w:pos="431"/>
        </w:tabs>
        <w:ind w:left="431" w:hanging="431"/>
      </w:pPr>
      <w:rPr>
        <w:strike w:val="0"/>
        <w:dstrike w:val="0"/>
        <w:vanish w:val="0"/>
        <w:webHidden w:val="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431"/>
        </w:tabs>
        <w:ind w:left="431" w:hanging="431"/>
      </w:p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2"/>
        </w:tabs>
        <w:ind w:left="862" w:hanging="862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9"/>
        </w:tabs>
        <w:ind w:left="1009" w:hanging="1009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1"/>
        </w:tabs>
        <w:ind w:left="1151" w:hanging="1151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8"/>
        </w:tabs>
        <w:ind w:left="1298" w:hanging="1298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751DB1"/>
    <w:multiLevelType w:val="multilevel"/>
    <w:tmpl w:val="67A8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732CA4"/>
    <w:multiLevelType w:val="multilevel"/>
    <w:tmpl w:val="B4E4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64414C"/>
    <w:multiLevelType w:val="multilevel"/>
    <w:tmpl w:val="6660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03599"/>
    <w:multiLevelType w:val="multilevel"/>
    <w:tmpl w:val="CE8A3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4"/>
  </w:num>
  <w:num w:numId="7">
    <w:abstractNumId w:val="0"/>
  </w:num>
  <w:num w:numId="8">
    <w:abstractNumId w:val="11"/>
  </w:num>
  <w:num w:numId="9">
    <w:abstractNumId w:val="6"/>
  </w:num>
  <w:num w:numId="10">
    <w:abstractNumId w:val="3"/>
  </w:num>
  <w:num w:numId="11">
    <w:abstractNumId w:val="4"/>
  </w:num>
  <w:num w:numId="12">
    <w:abstractNumId w:val="9"/>
  </w:num>
  <w:num w:numId="13">
    <w:abstractNumId w:val="2"/>
  </w:num>
  <w:num w:numId="14">
    <w:abstractNumId w:val="5"/>
  </w:num>
  <w:num w:numId="15">
    <w:abstractNumId w:val="1"/>
  </w:num>
  <w:num w:numId="16">
    <w:abstractNumId w:val="8"/>
  </w:num>
  <w:num w:numId="17">
    <w:abstractNumId w:val="15"/>
  </w:num>
  <w:num w:numId="18">
    <w:abstractNumId w:val="12"/>
  </w:num>
  <w:num w:numId="19">
    <w:abstractNumId w:val="1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F7E"/>
    <w:rsid w:val="004D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851EB1"/>
  <w15:chartTrackingRefBased/>
  <w15:docId w15:val="{C510D485-F389-4CFE-8ED8-A4B94660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jc w:val="center"/>
      <w:outlineLvl w:val="0"/>
    </w:pPr>
    <w:rPr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pPr>
      <w:numPr>
        <w:ilvl w:val="1"/>
        <w:numId w:val="2"/>
      </w:numPr>
      <w:spacing w:before="100" w:beforeAutospacing="1" w:after="100" w:afterAutospacing="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numPr>
        <w:ilvl w:val="2"/>
        <w:numId w:val="2"/>
      </w:numPr>
      <w:spacing w:before="100" w:beforeAutospacing="1" w:after="100" w:afterAutospacing="1"/>
      <w:jc w:val="center"/>
      <w:outlineLvl w:val="2"/>
    </w:pPr>
    <w:rPr>
      <w:b/>
      <w:bCs/>
      <w:sz w:val="25"/>
      <w:szCs w:val="25"/>
    </w:rPr>
  </w:style>
  <w:style w:type="paragraph" w:styleId="4">
    <w:name w:val="heading 4"/>
    <w:basedOn w:val="a"/>
    <w:link w:val="40"/>
    <w:uiPriority w:val="9"/>
    <w:qFormat/>
    <w:pPr>
      <w:numPr>
        <w:ilvl w:val="3"/>
        <w:numId w:val="2"/>
      </w:numPr>
      <w:spacing w:before="100" w:beforeAutospacing="1" w:after="100" w:afterAutospacing="1"/>
      <w:jc w:val="center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9"/>
    <w:qFormat/>
    <w:pPr>
      <w:numPr>
        <w:ilvl w:val="4"/>
        <w:numId w:val="2"/>
      </w:num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msonormal0">
    <w:name w:val="msonormal"/>
    <w:basedOn w:val="a"/>
    <w:pPr>
      <w:spacing w:after="150"/>
      <w:ind w:firstLine="750"/>
    </w:pPr>
  </w:style>
  <w:style w:type="paragraph" w:styleId="a5">
    <w:name w:val="Normal (Web)"/>
    <w:basedOn w:val="a"/>
    <w:uiPriority w:val="99"/>
    <w:semiHidden/>
    <w:unhideWhenUsed/>
    <w:pPr>
      <w:spacing w:after="150"/>
      <w:ind w:firstLine="750"/>
    </w:pPr>
  </w:style>
  <w:style w:type="character" w:customStyle="1" w:styleId="WarningStyle">
    <w:name w:val="WarningStyle Знак"/>
    <w:basedOn w:val="a0"/>
    <w:link w:val="WarningStyle0"/>
    <w:locked/>
    <w:rPr>
      <w:rFonts w:ascii="Times New Roman" w:eastAsiaTheme="minorEastAsia" w:hAnsi="Times New Roman" w:cs="Times New Roman" w:hint="default"/>
      <w:b/>
      <w:bCs w:val="0"/>
      <w:color w:val="C00000"/>
      <w:sz w:val="28"/>
      <w:szCs w:val="28"/>
    </w:rPr>
  </w:style>
  <w:style w:type="paragraph" w:customStyle="1" w:styleId="WarningStyle0">
    <w:name w:val="WarningStyle"/>
    <w:basedOn w:val="a"/>
    <w:next w:val="a"/>
    <w:link w:val="WarningStyle"/>
    <w:qFormat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pacing w:before="280" w:after="280" w:line="276" w:lineRule="auto"/>
      <w:jc w:val="center"/>
    </w:pPr>
    <w:rPr>
      <w:rFonts w:asciiTheme="minorHAnsi" w:hAnsiTheme="minorHAnsi" w:cstheme="minorBidi"/>
      <w:b/>
      <w:color w:val="C00000"/>
      <w:sz w:val="28"/>
      <w:szCs w:val="28"/>
      <w:lang w:eastAsia="en-US"/>
    </w:rPr>
  </w:style>
  <w:style w:type="paragraph" w:customStyle="1" w:styleId="tablenumber">
    <w:name w:val="tablenumber"/>
    <w:basedOn w:val="a"/>
    <w:pPr>
      <w:numPr>
        <w:numId w:val="4"/>
      </w:numPr>
      <w:spacing w:after="150"/>
      <w:ind w:left="0" w:firstLine="750"/>
      <w:jc w:val="right"/>
    </w:pPr>
  </w:style>
  <w:style w:type="paragraph" w:styleId="11">
    <w:name w:val="toc 1"/>
    <w:basedOn w:val="a"/>
    <w:autoRedefine/>
    <w:uiPriority w:val="39"/>
    <w:semiHidden/>
    <w:unhideWhenUsed/>
    <w:pPr>
      <w:tabs>
        <w:tab w:val="left" w:pos="425"/>
        <w:tab w:val="right" w:leader="dot" w:pos="9677"/>
      </w:tabs>
      <w:spacing w:before="20" w:after="20"/>
    </w:pPr>
    <w:rPr>
      <w:sz w:val="21"/>
      <w:szCs w:val="21"/>
    </w:rPr>
  </w:style>
  <w:style w:type="paragraph" w:styleId="21">
    <w:name w:val="toc 2"/>
    <w:basedOn w:val="a"/>
    <w:autoRedefine/>
    <w:uiPriority w:val="39"/>
    <w:semiHidden/>
    <w:unhideWhenUsed/>
    <w:pPr>
      <w:tabs>
        <w:tab w:val="left" w:pos="567"/>
        <w:tab w:val="right" w:leader="dot" w:pos="9677"/>
      </w:tabs>
      <w:spacing w:before="20" w:after="20"/>
    </w:pPr>
    <w:rPr>
      <w:sz w:val="21"/>
      <w:szCs w:val="21"/>
    </w:rPr>
  </w:style>
  <w:style w:type="paragraph" w:styleId="31">
    <w:name w:val="toc 3"/>
    <w:basedOn w:val="a"/>
    <w:autoRedefine/>
    <w:uiPriority w:val="39"/>
    <w:semiHidden/>
    <w:unhideWhenUsed/>
    <w:pPr>
      <w:tabs>
        <w:tab w:val="left" w:pos="709"/>
        <w:tab w:val="right" w:leader="dot" w:pos="9677"/>
      </w:tabs>
      <w:spacing w:before="20" w:after="20"/>
    </w:pPr>
    <w:rPr>
      <w:sz w:val="21"/>
      <w:szCs w:val="21"/>
    </w:rPr>
  </w:style>
  <w:style w:type="paragraph" w:styleId="41">
    <w:name w:val="toc 4"/>
    <w:basedOn w:val="a"/>
    <w:autoRedefine/>
    <w:uiPriority w:val="39"/>
    <w:semiHidden/>
    <w:unhideWhenUsed/>
    <w:pPr>
      <w:tabs>
        <w:tab w:val="left" w:pos="851"/>
        <w:tab w:val="right" w:leader="dot" w:pos="9677"/>
      </w:tabs>
      <w:spacing w:before="20" w:after="20"/>
    </w:pPr>
    <w:rPr>
      <w:sz w:val="21"/>
      <w:szCs w:val="21"/>
    </w:rPr>
  </w:style>
  <w:style w:type="paragraph" w:styleId="51">
    <w:name w:val="toc 5"/>
    <w:basedOn w:val="a"/>
    <w:autoRedefine/>
    <w:uiPriority w:val="39"/>
    <w:semiHidden/>
    <w:unhideWhenUsed/>
    <w:pPr>
      <w:tabs>
        <w:tab w:val="left" w:pos="992"/>
        <w:tab w:val="right" w:leader="dot" w:pos="9677"/>
      </w:tabs>
      <w:spacing w:before="20" w:after="20"/>
    </w:pPr>
    <w:rPr>
      <w:sz w:val="21"/>
      <w:szCs w:val="21"/>
    </w:rPr>
  </w:style>
  <w:style w:type="paragraph" w:styleId="61">
    <w:name w:val="toc 6"/>
    <w:basedOn w:val="a"/>
    <w:autoRedefine/>
    <w:uiPriority w:val="39"/>
    <w:semiHidden/>
    <w:unhideWhenUsed/>
    <w:pPr>
      <w:tabs>
        <w:tab w:val="left" w:pos="1134"/>
        <w:tab w:val="right" w:leader="dot" w:pos="9677"/>
      </w:tabs>
      <w:spacing w:before="20" w:after="20"/>
    </w:pPr>
    <w:rPr>
      <w:sz w:val="21"/>
      <w:szCs w:val="21"/>
    </w:rPr>
  </w:style>
  <w:style w:type="paragraph" w:styleId="71">
    <w:name w:val="toc 7"/>
    <w:basedOn w:val="a"/>
    <w:autoRedefine/>
    <w:uiPriority w:val="39"/>
    <w:semiHidden/>
    <w:unhideWhenUsed/>
    <w:pPr>
      <w:tabs>
        <w:tab w:val="left" w:pos="1276"/>
        <w:tab w:val="right" w:leader="dot" w:pos="9677"/>
      </w:tabs>
      <w:spacing w:before="20" w:after="20"/>
    </w:pPr>
    <w:rPr>
      <w:sz w:val="21"/>
      <w:szCs w:val="21"/>
    </w:rPr>
  </w:style>
  <w:style w:type="paragraph" w:customStyle="1" w:styleId="text-center">
    <w:name w:val="text-center"/>
    <w:basedOn w:val="a"/>
    <w:pPr>
      <w:spacing w:before="100" w:beforeAutospacing="1" w:after="100" w:afterAutospacing="1"/>
      <w:jc w:val="center"/>
    </w:pPr>
  </w:style>
  <w:style w:type="paragraph" w:customStyle="1" w:styleId="font7">
    <w:name w:val="font7"/>
    <w:basedOn w:val="a"/>
    <w:pPr>
      <w:spacing w:before="100" w:beforeAutospacing="1" w:after="100" w:afterAutospacing="1"/>
    </w:pPr>
    <w:rPr>
      <w:sz w:val="14"/>
      <w:szCs w:val="14"/>
    </w:rPr>
  </w:style>
  <w:style w:type="paragraph" w:customStyle="1" w:styleId="font8">
    <w:name w:val="font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font10">
    <w:name w:val="font10"/>
    <w:basedOn w:val="a"/>
    <w:pPr>
      <w:spacing w:before="100" w:beforeAutospacing="1" w:after="100" w:afterAutospacing="1"/>
    </w:pPr>
    <w:rPr>
      <w:sz w:val="17"/>
      <w:szCs w:val="17"/>
    </w:rPr>
  </w:style>
  <w:style w:type="paragraph" w:customStyle="1" w:styleId="font11">
    <w:name w:val="font11"/>
    <w:basedOn w:val="a"/>
    <w:pPr>
      <w:spacing w:before="100" w:beforeAutospacing="1" w:after="100" w:afterAutospacing="1"/>
    </w:pPr>
    <w:rPr>
      <w:sz w:val="21"/>
      <w:szCs w:val="21"/>
    </w:rPr>
  </w:style>
  <w:style w:type="paragraph" w:customStyle="1" w:styleId="font12">
    <w:name w:val="font12"/>
    <w:basedOn w:val="a"/>
    <w:pPr>
      <w:spacing w:before="100" w:beforeAutospacing="1" w:after="100" w:afterAutospacing="1"/>
    </w:pPr>
  </w:style>
  <w:style w:type="paragraph" w:customStyle="1" w:styleId="font14">
    <w:name w:val="font14"/>
    <w:basedOn w:val="a"/>
    <w:pPr>
      <w:spacing w:before="100" w:beforeAutospacing="1" w:after="100" w:afterAutospacing="1"/>
    </w:pPr>
    <w:rPr>
      <w:sz w:val="28"/>
      <w:szCs w:val="28"/>
    </w:rPr>
  </w:style>
  <w:style w:type="paragraph" w:customStyle="1" w:styleId="font16">
    <w:name w:val="font16"/>
    <w:basedOn w:val="a"/>
    <w:pPr>
      <w:spacing w:before="100" w:beforeAutospacing="1" w:after="100" w:afterAutospacing="1"/>
    </w:pPr>
    <w:rPr>
      <w:sz w:val="32"/>
      <w:szCs w:val="32"/>
    </w:rPr>
  </w:style>
  <w:style w:type="paragraph" w:customStyle="1" w:styleId="font18">
    <w:name w:val="font18"/>
    <w:basedOn w:val="a"/>
    <w:pPr>
      <w:spacing w:before="100" w:beforeAutospacing="1" w:after="100" w:afterAutospacing="1"/>
    </w:pPr>
    <w:rPr>
      <w:sz w:val="36"/>
      <w:szCs w:val="36"/>
    </w:rPr>
  </w:style>
  <w:style w:type="paragraph" w:customStyle="1" w:styleId="font36">
    <w:name w:val="font36"/>
    <w:basedOn w:val="a"/>
    <w:pPr>
      <w:spacing w:before="100" w:beforeAutospacing="1" w:after="100" w:afterAutospacing="1"/>
    </w:pPr>
    <w:rPr>
      <w:sz w:val="70"/>
      <w:szCs w:val="70"/>
    </w:rPr>
  </w:style>
  <w:style w:type="paragraph" w:customStyle="1" w:styleId="font48">
    <w:name w:val="font48"/>
    <w:basedOn w:val="a"/>
    <w:pPr>
      <w:spacing w:before="100" w:beforeAutospacing="1" w:after="100" w:afterAutospacing="1"/>
    </w:pPr>
    <w:rPr>
      <w:sz w:val="94"/>
      <w:szCs w:val="94"/>
    </w:rPr>
  </w:style>
  <w:style w:type="paragraph" w:customStyle="1" w:styleId="newpage">
    <w:name w:val="newpage"/>
    <w:basedOn w:val="a"/>
    <w:pPr>
      <w:spacing w:before="100" w:beforeAutospacing="1" w:after="100" w:afterAutospacing="1"/>
    </w:pPr>
  </w:style>
  <w:style w:type="paragraph" w:customStyle="1" w:styleId="kartinkofree">
    <w:name w:val="kartinkofree"/>
    <w:basedOn w:val="a"/>
    <w:pPr>
      <w:spacing w:before="100" w:beforeAutospacing="1" w:after="100" w:afterAutospacing="1"/>
    </w:pPr>
    <w:rPr>
      <w:webHidden/>
    </w:rPr>
  </w:style>
  <w:style w:type="paragraph" w:customStyle="1" w:styleId="analog-fotos">
    <w:name w:val="analog-fotos"/>
    <w:basedOn w:val="a"/>
    <w:pPr>
      <w:spacing w:before="100" w:beforeAutospacing="1" w:after="100" w:afterAutospacing="1"/>
      <w:jc w:val="center"/>
    </w:pPr>
  </w:style>
  <w:style w:type="paragraph" w:customStyle="1" w:styleId="text-right">
    <w:name w:val="text-right"/>
    <w:basedOn w:val="a"/>
    <w:pPr>
      <w:spacing w:before="100" w:beforeAutospacing="1" w:after="100" w:afterAutospacing="1"/>
      <w:jc w:val="right"/>
    </w:p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84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data:," TargetMode="External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3651</Words>
  <Characters>20816</Characters>
  <Application>Microsoft Office Word</Application>
  <DocSecurity>0</DocSecurity>
  <Lines>173</Lines>
  <Paragraphs>48</Paragraphs>
  <ScaleCrop>false</ScaleCrop>
  <Company/>
  <LinksUpToDate>false</LinksUpToDate>
  <CharactersWithSpaces>24419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2024-11-30T10:36:00Z</dcterms:created>
  <dcterms:modified xsi:type="dcterms:W3CDTF">2024-11-30T10:36:00Z</dcterms:modified>
</cp:coreProperties>
</file>